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6" w:rsidRPr="00B874A5" w:rsidRDefault="00A37AF5" w:rsidP="008A6526">
      <w:pPr>
        <w:pStyle w:val="Title"/>
      </w:pPr>
      <w:bookmarkStart w:id="0" w:name="_GoBack"/>
      <w:bookmarkEnd w:id="0"/>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-621030</wp:posOffset>
            </wp:positionV>
            <wp:extent cx="1104265" cy="12280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 T.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265" cy="1228090"/>
                    </a:xfrm>
                    <a:prstGeom prst="rect">
                      <a:avLst/>
                    </a:prstGeom>
                  </pic:spPr>
                </pic:pic>
              </a:graphicData>
            </a:graphic>
          </wp:anchor>
        </w:drawing>
      </w:r>
      <w:r w:rsidR="008A6526" w:rsidRPr="00B874A5">
        <w:t>Texas Southmost College</w:t>
      </w:r>
    </w:p>
    <w:p w:rsidR="008A6526" w:rsidRDefault="00D92053" w:rsidP="008A6526">
      <w:pPr>
        <w:pStyle w:val="Title"/>
        <w:pBdr>
          <w:bottom w:val="single" w:sz="6" w:space="1" w:color="auto"/>
        </w:pBdr>
      </w:pPr>
      <w:r>
        <w:t xml:space="preserve"> </w:t>
      </w:r>
      <w:r w:rsidR="009D5789">
        <w:t>MATH 2412 – Pre-Calculus Mathematics</w:t>
      </w:r>
      <w:r w:rsidR="00891169">
        <w:t xml:space="preserve"> </w:t>
      </w:r>
      <w:r w:rsidR="008A6526">
        <w:t>Syllabus</w:t>
      </w:r>
    </w:p>
    <w:p w:rsidR="006A5843" w:rsidRDefault="006A5843" w:rsidP="007E652F"/>
    <w:p w:rsidR="008A6526" w:rsidRPr="00654860" w:rsidRDefault="008A6526" w:rsidP="007E652F"/>
    <w:tbl>
      <w:tblPr>
        <w:tblW w:w="0" w:type="auto"/>
        <w:shd w:val="clear" w:color="auto" w:fill="EEECE1" w:themeFill="background2"/>
        <w:tblLayout w:type="fixed"/>
        <w:tblLook w:val="04A0"/>
      </w:tblPr>
      <w:tblGrid>
        <w:gridCol w:w="1548"/>
        <w:gridCol w:w="3240"/>
        <w:gridCol w:w="1440"/>
        <w:gridCol w:w="90"/>
        <w:gridCol w:w="4698"/>
      </w:tblGrid>
      <w:tr w:rsidR="006A5843" w:rsidTr="00D81595">
        <w:trPr>
          <w:trHeight w:val="495"/>
        </w:trPr>
        <w:tc>
          <w:tcPr>
            <w:tcW w:w="11016" w:type="dxa"/>
            <w:gridSpan w:val="5"/>
            <w:shd w:val="clear" w:color="auto" w:fill="365F91" w:themeFill="accent1" w:themeFillShade="BF"/>
          </w:tcPr>
          <w:p w:rsidR="006A5843" w:rsidRPr="006A4D90" w:rsidRDefault="009D5789" w:rsidP="00152C2C">
            <w:pPr>
              <w:rPr>
                <w:b/>
                <w:sz w:val="28"/>
                <w:szCs w:val="28"/>
              </w:rPr>
            </w:pPr>
            <w:r>
              <w:rPr>
                <w:b/>
                <w:color w:val="FFFFFF" w:themeColor="background1"/>
                <w:sz w:val="28"/>
                <w:szCs w:val="28"/>
              </w:rPr>
              <w:t>MATH 2412</w:t>
            </w:r>
            <w:r w:rsidRPr="006A4D90">
              <w:rPr>
                <w:b/>
                <w:color w:val="FFFFFF" w:themeColor="background1"/>
                <w:sz w:val="28"/>
                <w:szCs w:val="28"/>
              </w:rPr>
              <w:t xml:space="preserve">: </w:t>
            </w:r>
            <w:r>
              <w:rPr>
                <w:b/>
                <w:color w:val="FFFFFF" w:themeColor="background1"/>
                <w:sz w:val="28"/>
                <w:szCs w:val="28"/>
              </w:rPr>
              <w:t>Pre-Calculus Mathematics</w:t>
            </w:r>
          </w:p>
        </w:tc>
      </w:tr>
      <w:tr w:rsidR="00322A70" w:rsidTr="00D81595">
        <w:trPr>
          <w:trHeight w:val="180"/>
        </w:trPr>
        <w:tc>
          <w:tcPr>
            <w:tcW w:w="1548" w:type="dxa"/>
            <w:shd w:val="clear" w:color="auto" w:fill="EEECE1" w:themeFill="background2"/>
          </w:tcPr>
          <w:p w:rsidR="00322A70" w:rsidRPr="006A4D90" w:rsidRDefault="00322A70" w:rsidP="003C40B9">
            <w:pPr>
              <w:rPr>
                <w:b/>
              </w:rPr>
            </w:pPr>
          </w:p>
        </w:tc>
        <w:tc>
          <w:tcPr>
            <w:tcW w:w="3240" w:type="dxa"/>
            <w:shd w:val="clear" w:color="auto" w:fill="EEECE1" w:themeFill="background2"/>
          </w:tcPr>
          <w:p w:rsidR="00322A70" w:rsidRPr="006A4D90" w:rsidRDefault="00322A70" w:rsidP="003C40B9">
            <w:pPr>
              <w:rPr>
                <w:highlight w:val="cyan"/>
              </w:rPr>
            </w:pPr>
          </w:p>
        </w:tc>
        <w:tc>
          <w:tcPr>
            <w:tcW w:w="1530" w:type="dxa"/>
            <w:gridSpan w:val="2"/>
            <w:shd w:val="clear" w:color="auto" w:fill="EEECE1" w:themeFill="background2"/>
          </w:tcPr>
          <w:p w:rsidR="00322A70" w:rsidRPr="006A4D90" w:rsidRDefault="00322A70" w:rsidP="003C40B9">
            <w:pPr>
              <w:rPr>
                <w:b/>
                <w:sz w:val="16"/>
                <w:szCs w:val="16"/>
              </w:rPr>
            </w:pPr>
          </w:p>
        </w:tc>
        <w:tc>
          <w:tcPr>
            <w:tcW w:w="4698" w:type="dxa"/>
            <w:shd w:val="clear" w:color="auto" w:fill="EEECE1" w:themeFill="background2"/>
          </w:tcPr>
          <w:p w:rsidR="00322A70" w:rsidRPr="006A4D90" w:rsidRDefault="00322A70" w:rsidP="003C40B9">
            <w:pPr>
              <w:rPr>
                <w:highlight w:val="cyan"/>
              </w:rPr>
            </w:pPr>
          </w:p>
        </w:tc>
      </w:tr>
      <w:tr w:rsidR="00322A70" w:rsidTr="00D81595">
        <w:trPr>
          <w:trHeight w:val="495"/>
        </w:trPr>
        <w:tc>
          <w:tcPr>
            <w:tcW w:w="1548" w:type="dxa"/>
            <w:shd w:val="clear" w:color="auto" w:fill="EEECE1" w:themeFill="background2"/>
          </w:tcPr>
          <w:p w:rsidR="00322A70" w:rsidRPr="006A4D90" w:rsidRDefault="00322A70" w:rsidP="003C40B9">
            <w:pPr>
              <w:rPr>
                <w:b/>
              </w:rPr>
            </w:pPr>
            <w:r>
              <w:rPr>
                <w:b/>
              </w:rPr>
              <w:t>Professor</w:t>
            </w:r>
            <w:r w:rsidRPr="006A4D90">
              <w:rPr>
                <w:b/>
              </w:rPr>
              <w:t>:</w:t>
            </w:r>
          </w:p>
        </w:tc>
        <w:tc>
          <w:tcPr>
            <w:tcW w:w="3240" w:type="dxa"/>
            <w:shd w:val="clear" w:color="auto" w:fill="EEECE1" w:themeFill="background2"/>
          </w:tcPr>
          <w:p w:rsidR="00322A70" w:rsidRDefault="004B6CD8" w:rsidP="003C40B9">
            <w:r>
              <w:t>Roberto De La Garza</w:t>
            </w:r>
          </w:p>
          <w:p w:rsidR="00322A70" w:rsidRDefault="00322A70" w:rsidP="003C40B9"/>
        </w:tc>
        <w:tc>
          <w:tcPr>
            <w:tcW w:w="1530" w:type="dxa"/>
            <w:gridSpan w:val="2"/>
            <w:shd w:val="clear" w:color="auto" w:fill="EEECE1" w:themeFill="background2"/>
          </w:tcPr>
          <w:p w:rsidR="00322A70" w:rsidRPr="006A4D90" w:rsidRDefault="00322A70" w:rsidP="003C40B9">
            <w:pPr>
              <w:rPr>
                <w:b/>
              </w:rPr>
            </w:pPr>
            <w:r w:rsidRPr="006A4D90">
              <w:rPr>
                <w:b/>
              </w:rPr>
              <w:t>Phone:</w:t>
            </w:r>
          </w:p>
        </w:tc>
        <w:tc>
          <w:tcPr>
            <w:tcW w:w="4698" w:type="dxa"/>
            <w:shd w:val="clear" w:color="auto" w:fill="EEECE1" w:themeFill="background2"/>
          </w:tcPr>
          <w:p w:rsidR="004B6CD8" w:rsidRDefault="000839AA" w:rsidP="003C40B9">
            <w:r>
              <w:t>(956) 831-8700</w:t>
            </w:r>
            <w:r w:rsidR="008B16F5">
              <w:t xml:space="preserve">  (956) 698-1060</w:t>
            </w:r>
          </w:p>
          <w:p w:rsidR="00322A70" w:rsidRDefault="00322A70" w:rsidP="003C40B9"/>
        </w:tc>
      </w:tr>
      <w:tr w:rsidR="00322A70" w:rsidTr="00D81595">
        <w:tc>
          <w:tcPr>
            <w:tcW w:w="1548" w:type="dxa"/>
            <w:shd w:val="clear" w:color="auto" w:fill="EEECE1" w:themeFill="background2"/>
          </w:tcPr>
          <w:p w:rsidR="00322A70" w:rsidRPr="000F67AB" w:rsidRDefault="00322A70" w:rsidP="003C40B9">
            <w:pPr>
              <w:rPr>
                <w:b/>
              </w:rPr>
            </w:pPr>
            <w:r w:rsidRPr="000F67AB">
              <w:rPr>
                <w:b/>
              </w:rPr>
              <w:t>Email:</w:t>
            </w:r>
          </w:p>
        </w:tc>
        <w:tc>
          <w:tcPr>
            <w:tcW w:w="3240" w:type="dxa"/>
            <w:shd w:val="clear" w:color="auto" w:fill="EEECE1" w:themeFill="background2"/>
          </w:tcPr>
          <w:p w:rsidR="00322A70" w:rsidRPr="000F67AB" w:rsidRDefault="00555324" w:rsidP="003C40B9">
            <w:r>
              <w:t>redelagarza</w:t>
            </w:r>
            <w:r w:rsidR="000839AA">
              <w:t>@bisd.us</w:t>
            </w:r>
          </w:p>
          <w:p w:rsidR="00322A70" w:rsidRPr="000F67AB" w:rsidRDefault="00322A70" w:rsidP="003C40B9">
            <w:pPr>
              <w:rPr>
                <w:i/>
              </w:rPr>
            </w:pPr>
          </w:p>
        </w:tc>
        <w:tc>
          <w:tcPr>
            <w:tcW w:w="1530" w:type="dxa"/>
            <w:gridSpan w:val="2"/>
            <w:shd w:val="clear" w:color="auto" w:fill="EEECE1" w:themeFill="background2"/>
          </w:tcPr>
          <w:p w:rsidR="00322A70" w:rsidRPr="006A4D90" w:rsidRDefault="00322A70" w:rsidP="003C40B9">
            <w:pPr>
              <w:rPr>
                <w:b/>
              </w:rPr>
            </w:pPr>
            <w:r w:rsidRPr="006A4D90">
              <w:rPr>
                <w:b/>
              </w:rPr>
              <w:t xml:space="preserve">Office Hours: </w:t>
            </w:r>
          </w:p>
        </w:tc>
        <w:tc>
          <w:tcPr>
            <w:tcW w:w="4698" w:type="dxa"/>
            <w:shd w:val="clear" w:color="auto" w:fill="EEECE1" w:themeFill="background2"/>
          </w:tcPr>
          <w:p w:rsidR="00322A70" w:rsidRDefault="000839AA" w:rsidP="003C40B9">
            <w:r>
              <w:t>By Appt</w:t>
            </w:r>
          </w:p>
          <w:p w:rsidR="00322A70" w:rsidRDefault="00322A70" w:rsidP="003C40B9"/>
        </w:tc>
      </w:tr>
      <w:tr w:rsidR="00322A70" w:rsidTr="00D81595">
        <w:tc>
          <w:tcPr>
            <w:tcW w:w="4788" w:type="dxa"/>
            <w:gridSpan w:val="2"/>
            <w:shd w:val="clear" w:color="auto" w:fill="EEECE1" w:themeFill="background2"/>
          </w:tcPr>
          <w:p w:rsidR="00322A70" w:rsidRPr="000F67AB" w:rsidRDefault="00322A70" w:rsidP="00A23B00">
            <w:pPr>
              <w:rPr>
                <w:highlight w:val="cyan"/>
              </w:rPr>
            </w:pPr>
            <w:r>
              <w:rPr>
                <w:i/>
              </w:rPr>
              <w:t xml:space="preserve">I check emails </w:t>
            </w:r>
            <w:r w:rsidRPr="00D81595">
              <w:rPr>
                <w:i/>
                <w:highlight w:val="cyan"/>
              </w:rPr>
              <w:t>every</w:t>
            </w:r>
            <w:r w:rsidR="00A23B00">
              <w:rPr>
                <w:i/>
                <w:highlight w:val="cyan"/>
              </w:rPr>
              <w:t xml:space="preserve"> d</w:t>
            </w:r>
            <w:r w:rsidRPr="00D81595">
              <w:rPr>
                <w:i/>
                <w:highlight w:val="cyan"/>
              </w:rPr>
              <w:t>ay</w:t>
            </w:r>
            <w:r w:rsidRPr="000F67AB">
              <w:rPr>
                <w:i/>
              </w:rPr>
              <w:t xml:space="preserve">.  You can expect a response from me within </w:t>
            </w:r>
            <w:r w:rsidR="000839AA">
              <w:rPr>
                <w:i/>
                <w:highlight w:val="cyan"/>
              </w:rPr>
              <w:t xml:space="preserve">2 </w:t>
            </w:r>
            <w:r w:rsidRPr="00D81595">
              <w:rPr>
                <w:i/>
                <w:highlight w:val="cyan"/>
              </w:rPr>
              <w:t>Days</w:t>
            </w:r>
            <w:r w:rsidRPr="000F67AB">
              <w:rPr>
                <w:i/>
              </w:rPr>
              <w:t>.</w:t>
            </w:r>
          </w:p>
        </w:tc>
        <w:tc>
          <w:tcPr>
            <w:tcW w:w="6228" w:type="dxa"/>
            <w:gridSpan w:val="3"/>
            <w:shd w:val="clear" w:color="auto" w:fill="EEECE1" w:themeFill="background2"/>
          </w:tcPr>
          <w:p w:rsidR="00322A70" w:rsidRPr="000F67AB" w:rsidRDefault="00322A70" w:rsidP="003C40B9">
            <w:pPr>
              <w:rPr>
                <w:i/>
              </w:rPr>
            </w:pPr>
            <w:r w:rsidRPr="000F67AB">
              <w:rPr>
                <w:i/>
              </w:rPr>
              <w:t xml:space="preserve">Please note that </w:t>
            </w:r>
            <w:r>
              <w:rPr>
                <w:i/>
              </w:rPr>
              <w:t xml:space="preserve">I teach </w:t>
            </w:r>
            <w:r w:rsidRPr="000F67AB">
              <w:rPr>
                <w:i/>
              </w:rPr>
              <w:t xml:space="preserve">during the following </w:t>
            </w:r>
            <w:r>
              <w:rPr>
                <w:i/>
              </w:rPr>
              <w:t>days/</w:t>
            </w:r>
            <w:r w:rsidRPr="000F67AB">
              <w:rPr>
                <w:i/>
              </w:rPr>
              <w:t>times</w:t>
            </w:r>
            <w:r>
              <w:rPr>
                <w:i/>
              </w:rPr>
              <w:t>, and am thus unavailable</w:t>
            </w:r>
            <w:r w:rsidRPr="000F67AB">
              <w:rPr>
                <w:i/>
              </w:rPr>
              <w:t>:</w:t>
            </w:r>
          </w:p>
          <w:p w:rsidR="00322A70" w:rsidRPr="000F67AB" w:rsidRDefault="000839AA" w:rsidP="003C40B9">
            <w:r>
              <w:t>1</w:t>
            </w:r>
            <w:r w:rsidRPr="000839AA">
              <w:rPr>
                <w:vertAlign w:val="superscript"/>
              </w:rPr>
              <w:t>st</w:t>
            </w:r>
            <w:r>
              <w:t>, 2</w:t>
            </w:r>
            <w:r w:rsidRPr="000839AA">
              <w:rPr>
                <w:vertAlign w:val="superscript"/>
              </w:rPr>
              <w:t>nd</w:t>
            </w:r>
            <w:r>
              <w:t>,3</w:t>
            </w:r>
            <w:r w:rsidRPr="000839AA">
              <w:rPr>
                <w:vertAlign w:val="superscript"/>
              </w:rPr>
              <w:t>rd</w:t>
            </w:r>
            <w:r w:rsidR="008B16F5">
              <w:t>, 4</w:t>
            </w:r>
            <w:r w:rsidRPr="000839AA">
              <w:rPr>
                <w:vertAlign w:val="superscript"/>
              </w:rPr>
              <w:t>th</w:t>
            </w:r>
            <w:r w:rsidR="008B16F5">
              <w:t>, 7</w:t>
            </w:r>
            <w:r w:rsidRPr="000839AA">
              <w:rPr>
                <w:vertAlign w:val="superscript"/>
              </w:rPr>
              <w:t>th</w:t>
            </w:r>
            <w:r>
              <w:t>, &amp; 9</w:t>
            </w:r>
            <w:r w:rsidRPr="000839AA">
              <w:rPr>
                <w:vertAlign w:val="superscript"/>
              </w:rPr>
              <w:t>th</w:t>
            </w:r>
            <w:r>
              <w:t xml:space="preserve"> periods</w:t>
            </w:r>
          </w:p>
          <w:p w:rsidR="00322A70" w:rsidRPr="006A4D90" w:rsidRDefault="00322A70" w:rsidP="003C40B9">
            <w:pPr>
              <w:rPr>
                <w:highlight w:val="cyan"/>
              </w:rPr>
            </w:pPr>
          </w:p>
        </w:tc>
      </w:tr>
      <w:tr w:rsidR="00322A70" w:rsidTr="00D81595">
        <w:tc>
          <w:tcPr>
            <w:tcW w:w="1548" w:type="dxa"/>
            <w:shd w:val="clear" w:color="auto" w:fill="EEECE1" w:themeFill="background2"/>
          </w:tcPr>
          <w:p w:rsidR="00322A70" w:rsidRPr="000F67AB" w:rsidRDefault="00322A70" w:rsidP="003C40B9">
            <w:pPr>
              <w:rPr>
                <w:b/>
              </w:rPr>
            </w:pPr>
          </w:p>
        </w:tc>
        <w:tc>
          <w:tcPr>
            <w:tcW w:w="3240" w:type="dxa"/>
            <w:shd w:val="clear" w:color="auto" w:fill="EEECE1" w:themeFill="background2"/>
          </w:tcPr>
          <w:p w:rsidR="00322A70" w:rsidRPr="000F67AB" w:rsidRDefault="00322A70" w:rsidP="003C40B9">
            <w:pPr>
              <w:rPr>
                <w:i/>
              </w:rPr>
            </w:pPr>
          </w:p>
        </w:tc>
        <w:tc>
          <w:tcPr>
            <w:tcW w:w="1440" w:type="dxa"/>
            <w:shd w:val="clear" w:color="auto" w:fill="EEECE1" w:themeFill="background2"/>
          </w:tcPr>
          <w:p w:rsidR="00322A70" w:rsidRPr="006A4D90" w:rsidRDefault="00322A70" w:rsidP="003C40B9">
            <w:pPr>
              <w:rPr>
                <w:b/>
              </w:rPr>
            </w:pPr>
          </w:p>
        </w:tc>
        <w:tc>
          <w:tcPr>
            <w:tcW w:w="4788" w:type="dxa"/>
            <w:gridSpan w:val="2"/>
            <w:shd w:val="clear" w:color="auto" w:fill="EEECE1" w:themeFill="background2"/>
          </w:tcPr>
          <w:p w:rsidR="00322A70" w:rsidRDefault="00322A70" w:rsidP="003C40B9"/>
        </w:tc>
      </w:tr>
      <w:tr w:rsidR="00322A70" w:rsidTr="00D81595">
        <w:tc>
          <w:tcPr>
            <w:tcW w:w="1548" w:type="dxa"/>
            <w:shd w:val="clear" w:color="auto" w:fill="EEECE1" w:themeFill="background2"/>
          </w:tcPr>
          <w:p w:rsidR="00322A70" w:rsidRPr="000F67AB" w:rsidRDefault="00322A70" w:rsidP="003C40B9">
            <w:pPr>
              <w:rPr>
                <w:b/>
              </w:rPr>
            </w:pPr>
            <w:r>
              <w:rPr>
                <w:b/>
              </w:rPr>
              <w:t>Semester:</w:t>
            </w:r>
          </w:p>
        </w:tc>
        <w:tc>
          <w:tcPr>
            <w:tcW w:w="3240" w:type="dxa"/>
            <w:shd w:val="clear" w:color="auto" w:fill="EEECE1" w:themeFill="background2"/>
          </w:tcPr>
          <w:p w:rsidR="00322A70" w:rsidRPr="007A0A96" w:rsidRDefault="00322A70" w:rsidP="003C40B9">
            <w:r w:rsidRPr="00671518">
              <w:rPr>
                <w:highlight w:val="cyan"/>
              </w:rPr>
              <w:t xml:space="preserve">Fall </w:t>
            </w:r>
            <w:r w:rsidR="004B6CD8">
              <w:rPr>
                <w:highlight w:val="cyan"/>
              </w:rPr>
              <w:t>2016</w:t>
            </w:r>
            <w:r w:rsidR="000839AA">
              <w:rPr>
                <w:highlight w:val="cyan"/>
              </w:rPr>
              <w:t xml:space="preserve"> – Spring 201</w:t>
            </w:r>
            <w:r w:rsidR="004B6CD8">
              <w:t>7</w:t>
            </w:r>
          </w:p>
          <w:p w:rsidR="00322A70" w:rsidRDefault="00322A70" w:rsidP="003C40B9">
            <w:pPr>
              <w:rPr>
                <w:highlight w:val="cyan"/>
              </w:rPr>
            </w:pPr>
          </w:p>
        </w:tc>
        <w:tc>
          <w:tcPr>
            <w:tcW w:w="1440" w:type="dxa"/>
            <w:shd w:val="clear" w:color="auto" w:fill="EEECE1" w:themeFill="background2"/>
          </w:tcPr>
          <w:p w:rsidR="00322A70" w:rsidRPr="006A4D90" w:rsidRDefault="00322A70" w:rsidP="003C40B9">
            <w:pPr>
              <w:rPr>
                <w:b/>
              </w:rPr>
            </w:pPr>
          </w:p>
        </w:tc>
        <w:tc>
          <w:tcPr>
            <w:tcW w:w="4788" w:type="dxa"/>
            <w:gridSpan w:val="2"/>
            <w:shd w:val="clear" w:color="auto" w:fill="EEECE1" w:themeFill="background2"/>
          </w:tcPr>
          <w:p w:rsidR="00322A70" w:rsidRPr="006A4D90" w:rsidRDefault="00322A70" w:rsidP="003C40B9">
            <w:pPr>
              <w:rPr>
                <w:highlight w:val="cyan"/>
              </w:rPr>
            </w:pPr>
          </w:p>
        </w:tc>
      </w:tr>
    </w:tbl>
    <w:p w:rsidR="00B9713E" w:rsidRDefault="00B9713E" w:rsidP="007E652F">
      <w:pPr>
        <w:pStyle w:val="Heading1"/>
      </w:pPr>
    </w:p>
    <w:p w:rsidR="0099247A" w:rsidRPr="0099247A" w:rsidRDefault="006A4D90" w:rsidP="007E652F">
      <w:pPr>
        <w:pStyle w:val="Heading1"/>
      </w:pPr>
      <w:r>
        <w:t>Course Description</w:t>
      </w:r>
    </w:p>
    <w:p w:rsidR="00A23B00" w:rsidRDefault="00A23B00" w:rsidP="009D5789">
      <w:pPr>
        <w:rPr>
          <w:rFonts w:cs="Arial"/>
          <w:color w:val="000000"/>
          <w:shd w:val="clear" w:color="auto" w:fill="FFFFFF"/>
        </w:rPr>
      </w:pPr>
      <w:r>
        <w:rPr>
          <w:rFonts w:cs="Arial"/>
          <w:color w:val="000000"/>
          <w:shd w:val="clear" w:color="auto" w:fill="FFFFFF"/>
        </w:rPr>
        <w:t xml:space="preserve">In-depth combined study of </w:t>
      </w:r>
      <w:proofErr w:type="gramStart"/>
      <w:r>
        <w:rPr>
          <w:rFonts w:cs="Arial"/>
          <w:color w:val="000000"/>
          <w:shd w:val="clear" w:color="auto" w:fill="FFFFFF"/>
        </w:rPr>
        <w:t>algebra ,</w:t>
      </w:r>
      <w:proofErr w:type="gramEnd"/>
      <w:r>
        <w:rPr>
          <w:rFonts w:cs="Arial"/>
          <w:color w:val="000000"/>
          <w:shd w:val="clear" w:color="auto" w:fill="FFFFFF"/>
        </w:rPr>
        <w:t xml:space="preserve"> trigonometry, and other topics for calculus readiness.  (ACGM)</w:t>
      </w:r>
    </w:p>
    <w:p w:rsidR="008B6E4A" w:rsidRPr="008B6E4A" w:rsidRDefault="008B6E4A" w:rsidP="009D5789">
      <w:r w:rsidRPr="008B6E4A">
        <w:rPr>
          <w:rFonts w:cs="Arial"/>
          <w:color w:val="000000"/>
          <w:shd w:val="clear" w:color="auto" w:fill="FFFFFF"/>
        </w:rPr>
        <w:t xml:space="preserve"> Lec </w:t>
      </w:r>
      <w:proofErr w:type="gramStart"/>
      <w:r w:rsidRPr="008B6E4A">
        <w:rPr>
          <w:rFonts w:cs="Arial"/>
          <w:color w:val="000000"/>
          <w:shd w:val="clear" w:color="auto" w:fill="FFFFFF"/>
        </w:rPr>
        <w:t>4 ,</w:t>
      </w:r>
      <w:proofErr w:type="gramEnd"/>
      <w:r w:rsidRPr="008B6E4A">
        <w:rPr>
          <w:rFonts w:cs="Arial"/>
          <w:color w:val="000000"/>
          <w:shd w:val="clear" w:color="auto" w:fill="FFFFFF"/>
        </w:rPr>
        <w:t xml:space="preserve"> Cr 4</w:t>
      </w:r>
    </w:p>
    <w:p w:rsidR="00152C2C" w:rsidRDefault="00152C2C" w:rsidP="007E652F"/>
    <w:p w:rsidR="00756A41" w:rsidRPr="00D81595" w:rsidRDefault="00756A41" w:rsidP="00756A41">
      <w:pPr>
        <w:pStyle w:val="Heading1"/>
      </w:pPr>
      <w:r w:rsidRPr="00D81595">
        <w:t>Course Prerequisites</w:t>
      </w:r>
    </w:p>
    <w:p w:rsidR="00C158E4" w:rsidRPr="00BB5141" w:rsidRDefault="00C158E4" w:rsidP="00C158E4">
      <w:pPr>
        <w:pStyle w:val="Heading1"/>
        <w:rPr>
          <w:rFonts w:cs="Times New Roman"/>
          <w:color w:val="auto"/>
          <w:sz w:val="24"/>
          <w:szCs w:val="24"/>
        </w:rPr>
      </w:pPr>
      <w:proofErr w:type="gramStart"/>
      <w:r w:rsidRPr="00BB5141">
        <w:rPr>
          <w:rFonts w:cs="Times New Roman"/>
          <w:color w:val="auto"/>
          <w:sz w:val="24"/>
          <w:szCs w:val="24"/>
        </w:rPr>
        <w:t xml:space="preserve">MATH </w:t>
      </w:r>
      <w:r w:rsidR="008B6E4A">
        <w:rPr>
          <w:rFonts w:cs="Times New Roman"/>
          <w:color w:val="auto"/>
          <w:sz w:val="24"/>
          <w:szCs w:val="24"/>
        </w:rPr>
        <w:t>1314</w:t>
      </w:r>
      <w:r>
        <w:rPr>
          <w:rFonts w:cs="Times New Roman"/>
          <w:color w:val="auto"/>
          <w:sz w:val="24"/>
          <w:szCs w:val="24"/>
        </w:rPr>
        <w:t xml:space="preserve"> </w:t>
      </w:r>
      <w:r w:rsidRPr="00BB5141">
        <w:rPr>
          <w:rFonts w:cs="Times New Roman"/>
          <w:color w:val="auto"/>
          <w:sz w:val="24"/>
          <w:szCs w:val="24"/>
        </w:rPr>
        <w:t xml:space="preserve">with </w:t>
      </w:r>
      <w:r>
        <w:rPr>
          <w:rFonts w:cs="Times New Roman"/>
          <w:color w:val="auto"/>
          <w:sz w:val="24"/>
          <w:szCs w:val="24"/>
        </w:rPr>
        <w:t xml:space="preserve">minimum grade of </w:t>
      </w:r>
      <w:r w:rsidRPr="00BB5141">
        <w:rPr>
          <w:rFonts w:cs="Times New Roman"/>
          <w:color w:val="auto"/>
          <w:sz w:val="24"/>
          <w:szCs w:val="24"/>
        </w:rPr>
        <w:t>"C" or better, or equivalent as determined by the mathematics assessment test</w:t>
      </w:r>
      <w:r>
        <w:rPr>
          <w:rFonts w:cs="Times New Roman"/>
          <w:color w:val="auto"/>
          <w:sz w:val="24"/>
          <w:szCs w:val="24"/>
        </w:rPr>
        <w:t>.</w:t>
      </w:r>
      <w:proofErr w:type="gramEnd"/>
    </w:p>
    <w:p w:rsidR="00AA5FBB" w:rsidRPr="00D81595" w:rsidRDefault="00AA5FBB" w:rsidP="00D81595">
      <w:pPr>
        <w:rPr>
          <w:rFonts w:cs="Calibri"/>
          <w:i/>
          <w:iCs/>
        </w:rPr>
      </w:pPr>
    </w:p>
    <w:p w:rsidR="003B453A" w:rsidRPr="00FD100F" w:rsidRDefault="003B453A" w:rsidP="003B453A">
      <w:pPr>
        <w:pStyle w:val="Heading1"/>
      </w:pPr>
      <w:r w:rsidRPr="00FD100F">
        <w:t>Learning Outcome</w:t>
      </w:r>
      <w:r>
        <w:t>s</w:t>
      </w:r>
    </w:p>
    <w:p w:rsidR="003B453A" w:rsidRDefault="003B453A" w:rsidP="003B453A"/>
    <w:p w:rsidR="003B453A" w:rsidRPr="00C137A2" w:rsidRDefault="00A23B00" w:rsidP="003B453A">
      <w:pPr>
        <w:pStyle w:val="ListParagraph"/>
        <w:numPr>
          <w:ilvl w:val="0"/>
          <w:numId w:val="27"/>
        </w:numPr>
        <w:rPr>
          <w:rFonts w:ascii="Calibri" w:hAnsi="Calibri" w:cs="Times New Roman"/>
          <w:color w:val="000000"/>
        </w:rPr>
      </w:pPr>
      <w:r>
        <w:rPr>
          <w:rFonts w:ascii="Calibri" w:hAnsi="Calibri" w:cs="Times New Roman"/>
          <w:color w:val="000000"/>
        </w:rPr>
        <w:t>Demonstrate and apply knowledge</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Apply the characteristics of polynomial and rational functions.</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Evaluate exponential and logarithmic functions.</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Apply basic properties of angles and trigonometric functions.</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Apply trigonometric functions to test identities and convert between equations.</w:t>
      </w:r>
    </w:p>
    <w:p w:rsidR="003B453A" w:rsidRPr="00C00084"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Describe geometry, complex numbers, and vectors with trigonometric formulas.</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Evaluate equations for conic sections.</w:t>
      </w:r>
    </w:p>
    <w:p w:rsidR="003B453A" w:rsidRPr="00C137A2" w:rsidRDefault="003B453A" w:rsidP="003B453A">
      <w:pPr>
        <w:pStyle w:val="ListParagraph"/>
        <w:numPr>
          <w:ilvl w:val="0"/>
          <w:numId w:val="27"/>
        </w:numPr>
        <w:rPr>
          <w:rFonts w:ascii="Calibri" w:hAnsi="Calibri" w:cs="Times New Roman"/>
          <w:color w:val="000000"/>
        </w:rPr>
      </w:pPr>
      <w:r w:rsidRPr="00C137A2">
        <w:rPr>
          <w:rFonts w:ascii="Calibri" w:hAnsi="Calibri" w:cs="Times New Roman"/>
          <w:color w:val="000000"/>
        </w:rPr>
        <w:t>Apply properties of sequences.</w:t>
      </w:r>
    </w:p>
    <w:p w:rsidR="003B453A" w:rsidRDefault="003B453A" w:rsidP="00D44420">
      <w:pPr>
        <w:pStyle w:val="Heading1"/>
      </w:pPr>
    </w:p>
    <w:p w:rsidR="00D44420" w:rsidRDefault="00D44420" w:rsidP="00D44420">
      <w:pPr>
        <w:pStyle w:val="Heading1"/>
      </w:pPr>
      <w:r>
        <w:t>Course Materials</w:t>
      </w:r>
    </w:p>
    <w:p w:rsidR="00F01FDB" w:rsidRDefault="00F01FDB" w:rsidP="00F01FDB">
      <w:pPr>
        <w:pStyle w:val="ListParagraph"/>
      </w:pPr>
    </w:p>
    <w:p w:rsidR="009D5789" w:rsidRDefault="009D5789" w:rsidP="009D5789">
      <w:pPr>
        <w:pStyle w:val="ListParagraph"/>
        <w:numPr>
          <w:ilvl w:val="0"/>
          <w:numId w:val="28"/>
        </w:numPr>
      </w:pPr>
      <w:r w:rsidRPr="00CB0EE9">
        <w:t>Blitzer, R.</w:t>
      </w:r>
      <w:r>
        <w:t xml:space="preserve"> </w:t>
      </w:r>
      <w:r w:rsidRPr="00CB0EE9">
        <w:t xml:space="preserve">F. (2010). </w:t>
      </w:r>
      <w:r w:rsidRPr="00CB0EE9">
        <w:rPr>
          <w:i/>
        </w:rPr>
        <w:t>Precalculus</w:t>
      </w:r>
      <w:r w:rsidRPr="00CB0EE9">
        <w:t xml:space="preserve"> (</w:t>
      </w:r>
      <w:r w:rsidR="0039525A">
        <w:t>5</w:t>
      </w:r>
      <w:r w:rsidRPr="00CB0EE9">
        <w:t>th ed.). Upper Saddle River, NJ: Pearson Education.</w:t>
      </w:r>
    </w:p>
    <w:p w:rsidR="00486D91" w:rsidRDefault="00486D91" w:rsidP="00486D91"/>
    <w:p w:rsidR="00F552B4" w:rsidRDefault="00F552B4" w:rsidP="00F552B4">
      <w:pPr>
        <w:pStyle w:val="Heading1"/>
      </w:pPr>
      <w:r w:rsidRPr="00495C47">
        <w:t>Course</w:t>
      </w:r>
      <w:r>
        <w:t xml:space="preserve"> Content</w:t>
      </w:r>
    </w:p>
    <w:p w:rsidR="00F552B4" w:rsidRPr="00A707D1" w:rsidRDefault="00F552B4" w:rsidP="00F552B4"/>
    <w:p w:rsidR="00127968" w:rsidRDefault="00127968" w:rsidP="00F552B4">
      <w:pPr>
        <w:pStyle w:val="ListParagraph"/>
        <w:numPr>
          <w:ilvl w:val="0"/>
          <w:numId w:val="18"/>
        </w:numPr>
      </w:pPr>
      <w:r>
        <w:t>1.7  Combinations of Functions; Composite Functions</w:t>
      </w:r>
    </w:p>
    <w:p w:rsidR="00127968" w:rsidRDefault="00127968" w:rsidP="00F552B4">
      <w:pPr>
        <w:pStyle w:val="ListParagraph"/>
        <w:numPr>
          <w:ilvl w:val="0"/>
          <w:numId w:val="18"/>
        </w:numPr>
      </w:pPr>
      <w:r>
        <w:t>1.8  Inverse Functions</w:t>
      </w:r>
    </w:p>
    <w:p w:rsidR="00127968" w:rsidRDefault="00127968" w:rsidP="00F552B4">
      <w:pPr>
        <w:pStyle w:val="ListParagraph"/>
        <w:numPr>
          <w:ilvl w:val="0"/>
          <w:numId w:val="18"/>
        </w:numPr>
      </w:pPr>
      <w:r>
        <w:t>2.1  Complex Numbers</w:t>
      </w:r>
    </w:p>
    <w:p w:rsidR="00127968" w:rsidRDefault="00127968" w:rsidP="00F552B4">
      <w:pPr>
        <w:pStyle w:val="ListParagraph"/>
        <w:numPr>
          <w:ilvl w:val="0"/>
          <w:numId w:val="18"/>
        </w:numPr>
      </w:pPr>
      <w:r>
        <w:t>2.2  Quadratic Functions</w:t>
      </w:r>
    </w:p>
    <w:p w:rsidR="00127968" w:rsidRDefault="00127968" w:rsidP="00F552B4">
      <w:pPr>
        <w:pStyle w:val="ListParagraph"/>
        <w:numPr>
          <w:ilvl w:val="0"/>
          <w:numId w:val="18"/>
        </w:numPr>
      </w:pPr>
      <w:r>
        <w:t>2.3  Polynomial Functions and Their Graphs</w:t>
      </w:r>
    </w:p>
    <w:p w:rsidR="00127968" w:rsidRDefault="00127968" w:rsidP="00F552B4">
      <w:pPr>
        <w:pStyle w:val="ListParagraph"/>
        <w:numPr>
          <w:ilvl w:val="0"/>
          <w:numId w:val="18"/>
        </w:numPr>
      </w:pPr>
      <w:r>
        <w:t>2.5  Zeros of Polynomial Functions</w:t>
      </w:r>
    </w:p>
    <w:p w:rsidR="00127968" w:rsidRDefault="00127968" w:rsidP="00F552B4">
      <w:pPr>
        <w:pStyle w:val="ListParagraph"/>
        <w:numPr>
          <w:ilvl w:val="0"/>
          <w:numId w:val="18"/>
        </w:numPr>
      </w:pPr>
      <w:r>
        <w:t>2.6  Rational Functions and Their Graphs</w:t>
      </w:r>
    </w:p>
    <w:p w:rsidR="00127968" w:rsidRDefault="00127968" w:rsidP="00F552B4">
      <w:pPr>
        <w:pStyle w:val="ListParagraph"/>
        <w:numPr>
          <w:ilvl w:val="0"/>
          <w:numId w:val="18"/>
        </w:numPr>
      </w:pPr>
      <w:r>
        <w:t>3.1  Exponential Functions</w:t>
      </w:r>
    </w:p>
    <w:p w:rsidR="00127968" w:rsidRDefault="00127968" w:rsidP="00F552B4">
      <w:pPr>
        <w:pStyle w:val="ListParagraph"/>
        <w:numPr>
          <w:ilvl w:val="0"/>
          <w:numId w:val="18"/>
        </w:numPr>
      </w:pPr>
      <w:r>
        <w:t>3.2  Logarithmic Functions</w:t>
      </w:r>
    </w:p>
    <w:p w:rsidR="00127968" w:rsidRDefault="00127968" w:rsidP="00F552B4">
      <w:pPr>
        <w:pStyle w:val="ListParagraph"/>
        <w:numPr>
          <w:ilvl w:val="0"/>
          <w:numId w:val="18"/>
        </w:numPr>
      </w:pPr>
      <w:r>
        <w:t>3.3  Properties of Logarithms</w:t>
      </w:r>
    </w:p>
    <w:p w:rsidR="00127968" w:rsidRDefault="00127968" w:rsidP="00F552B4">
      <w:pPr>
        <w:pStyle w:val="ListParagraph"/>
        <w:numPr>
          <w:ilvl w:val="0"/>
          <w:numId w:val="18"/>
        </w:numPr>
      </w:pPr>
      <w:r>
        <w:t>3.4  Exponential and Logarithmic Equations</w:t>
      </w:r>
    </w:p>
    <w:p w:rsidR="00127968" w:rsidRDefault="00127968" w:rsidP="00F552B4">
      <w:pPr>
        <w:pStyle w:val="ListParagraph"/>
        <w:numPr>
          <w:ilvl w:val="0"/>
          <w:numId w:val="18"/>
        </w:numPr>
      </w:pPr>
      <w:r>
        <w:t>3.5  Exponential Growth and Decay; Modeling Data</w:t>
      </w:r>
    </w:p>
    <w:p w:rsidR="00127968" w:rsidRDefault="00127968" w:rsidP="00F552B4">
      <w:pPr>
        <w:pStyle w:val="ListParagraph"/>
        <w:numPr>
          <w:ilvl w:val="0"/>
          <w:numId w:val="18"/>
        </w:numPr>
      </w:pPr>
      <w:r>
        <w:t>4.1  Angles and Radian Measure</w:t>
      </w:r>
    </w:p>
    <w:p w:rsidR="00127968" w:rsidRDefault="00127968" w:rsidP="00F552B4">
      <w:pPr>
        <w:pStyle w:val="ListParagraph"/>
        <w:numPr>
          <w:ilvl w:val="0"/>
          <w:numId w:val="18"/>
        </w:numPr>
      </w:pPr>
      <w:r>
        <w:t>4.2  Trigonometric Functions: The Unit Circle</w:t>
      </w:r>
    </w:p>
    <w:p w:rsidR="00127968" w:rsidRDefault="00127968" w:rsidP="00F552B4">
      <w:pPr>
        <w:pStyle w:val="ListParagraph"/>
        <w:numPr>
          <w:ilvl w:val="0"/>
          <w:numId w:val="18"/>
        </w:numPr>
      </w:pPr>
      <w:r>
        <w:t>4.3  Right Triangle Trigonometry</w:t>
      </w:r>
    </w:p>
    <w:p w:rsidR="00127968" w:rsidRDefault="00127968" w:rsidP="00F552B4">
      <w:pPr>
        <w:pStyle w:val="ListParagraph"/>
        <w:numPr>
          <w:ilvl w:val="0"/>
          <w:numId w:val="18"/>
        </w:numPr>
      </w:pPr>
      <w:r>
        <w:t>4.4  Trigonometric Functions of Any Angle</w:t>
      </w:r>
    </w:p>
    <w:p w:rsidR="00127968" w:rsidRDefault="00127968" w:rsidP="00F552B4">
      <w:pPr>
        <w:pStyle w:val="ListParagraph"/>
        <w:numPr>
          <w:ilvl w:val="0"/>
          <w:numId w:val="18"/>
        </w:numPr>
      </w:pPr>
      <w:r>
        <w:t>4.5  Graphs of Sine and Cosine Functions</w:t>
      </w:r>
    </w:p>
    <w:p w:rsidR="00127968" w:rsidRDefault="00127968" w:rsidP="00F552B4">
      <w:pPr>
        <w:pStyle w:val="ListParagraph"/>
        <w:numPr>
          <w:ilvl w:val="0"/>
          <w:numId w:val="18"/>
        </w:numPr>
      </w:pPr>
      <w:r>
        <w:t>4.6  Graphs of Other Trigonometric Functions</w:t>
      </w:r>
    </w:p>
    <w:p w:rsidR="00127968" w:rsidRDefault="00127968" w:rsidP="00F552B4">
      <w:pPr>
        <w:pStyle w:val="ListParagraph"/>
        <w:numPr>
          <w:ilvl w:val="0"/>
          <w:numId w:val="18"/>
        </w:numPr>
      </w:pPr>
      <w:r>
        <w:t>4.7  Inverse Trigonometric Functions</w:t>
      </w:r>
    </w:p>
    <w:p w:rsidR="00127968" w:rsidRDefault="00127968" w:rsidP="00F552B4">
      <w:pPr>
        <w:pStyle w:val="ListParagraph"/>
        <w:numPr>
          <w:ilvl w:val="0"/>
          <w:numId w:val="18"/>
        </w:numPr>
      </w:pPr>
      <w:r>
        <w:t>5.1  Verifying Trigonometric Identities</w:t>
      </w:r>
    </w:p>
    <w:p w:rsidR="00127968" w:rsidRDefault="00127968" w:rsidP="00F552B4">
      <w:pPr>
        <w:pStyle w:val="ListParagraph"/>
        <w:numPr>
          <w:ilvl w:val="0"/>
          <w:numId w:val="18"/>
        </w:numPr>
      </w:pPr>
      <w:r>
        <w:t>5.2  Sum and Difference Formulas</w:t>
      </w:r>
    </w:p>
    <w:p w:rsidR="00127968" w:rsidRDefault="00127968" w:rsidP="00F552B4">
      <w:pPr>
        <w:pStyle w:val="ListParagraph"/>
        <w:numPr>
          <w:ilvl w:val="0"/>
          <w:numId w:val="18"/>
        </w:numPr>
      </w:pPr>
      <w:r>
        <w:t>5.3  Double-Angle</w:t>
      </w:r>
      <w:r w:rsidR="004C1849">
        <w:t>,</w:t>
      </w:r>
      <w:r>
        <w:t xml:space="preserve"> Power-Reducing, and Half-Angle Formulas</w:t>
      </w:r>
    </w:p>
    <w:p w:rsidR="00127968" w:rsidRDefault="00127968" w:rsidP="00F552B4">
      <w:pPr>
        <w:pStyle w:val="ListParagraph"/>
        <w:numPr>
          <w:ilvl w:val="0"/>
          <w:numId w:val="18"/>
        </w:numPr>
      </w:pPr>
      <w:r>
        <w:t>5.5  Trigonometric Equations</w:t>
      </w:r>
    </w:p>
    <w:p w:rsidR="00127968" w:rsidRDefault="00127968" w:rsidP="00F552B4">
      <w:pPr>
        <w:pStyle w:val="ListParagraph"/>
        <w:numPr>
          <w:ilvl w:val="0"/>
          <w:numId w:val="18"/>
        </w:numPr>
      </w:pPr>
      <w:r>
        <w:t>6.1  The Law of Sines</w:t>
      </w:r>
    </w:p>
    <w:p w:rsidR="00127968" w:rsidRDefault="00127968" w:rsidP="00F552B4">
      <w:pPr>
        <w:pStyle w:val="ListParagraph"/>
        <w:numPr>
          <w:ilvl w:val="0"/>
          <w:numId w:val="18"/>
        </w:numPr>
      </w:pPr>
      <w:r>
        <w:t>6.2  The Law of Cosines</w:t>
      </w:r>
    </w:p>
    <w:p w:rsidR="00127968" w:rsidRDefault="00127968" w:rsidP="00F552B4">
      <w:pPr>
        <w:pStyle w:val="ListParagraph"/>
        <w:numPr>
          <w:ilvl w:val="0"/>
          <w:numId w:val="18"/>
        </w:numPr>
      </w:pPr>
      <w:r>
        <w:t>6.3  Polar Coordinates</w:t>
      </w:r>
    </w:p>
    <w:p w:rsidR="00127968" w:rsidRDefault="00127968" w:rsidP="00F552B4">
      <w:pPr>
        <w:pStyle w:val="ListParagraph"/>
        <w:numPr>
          <w:ilvl w:val="0"/>
          <w:numId w:val="18"/>
        </w:numPr>
      </w:pPr>
      <w:r>
        <w:t>6.4  Graphs of Polar Equations</w:t>
      </w:r>
    </w:p>
    <w:p w:rsidR="00127968" w:rsidRDefault="00127968" w:rsidP="00F552B4">
      <w:pPr>
        <w:pStyle w:val="ListParagraph"/>
        <w:numPr>
          <w:ilvl w:val="0"/>
          <w:numId w:val="18"/>
        </w:numPr>
      </w:pPr>
      <w:r>
        <w:t>6.5  Complex Numbers in Polar Form; DeMoivre’s Theorem</w:t>
      </w:r>
    </w:p>
    <w:p w:rsidR="00127968" w:rsidRDefault="00127968" w:rsidP="00F552B4">
      <w:pPr>
        <w:pStyle w:val="ListParagraph"/>
        <w:numPr>
          <w:ilvl w:val="0"/>
          <w:numId w:val="18"/>
        </w:numPr>
      </w:pPr>
      <w:r>
        <w:t>6.6  Vectors</w:t>
      </w:r>
    </w:p>
    <w:p w:rsidR="00127968" w:rsidRDefault="00127968" w:rsidP="00F552B4">
      <w:pPr>
        <w:pStyle w:val="ListParagraph"/>
        <w:numPr>
          <w:ilvl w:val="0"/>
          <w:numId w:val="18"/>
        </w:numPr>
      </w:pPr>
      <w:r>
        <w:t>6.7  The Dot Product</w:t>
      </w:r>
    </w:p>
    <w:p w:rsidR="00127968" w:rsidRDefault="00127968" w:rsidP="00F552B4">
      <w:pPr>
        <w:pStyle w:val="ListParagraph"/>
        <w:numPr>
          <w:ilvl w:val="0"/>
          <w:numId w:val="18"/>
        </w:numPr>
      </w:pPr>
      <w:r>
        <w:t>7.3  Partial Fractions</w:t>
      </w:r>
    </w:p>
    <w:p w:rsidR="00127968" w:rsidRDefault="00127968" w:rsidP="00F552B4">
      <w:pPr>
        <w:pStyle w:val="ListParagraph"/>
        <w:numPr>
          <w:ilvl w:val="0"/>
          <w:numId w:val="18"/>
        </w:numPr>
      </w:pPr>
      <w:r>
        <w:t>9.1  The Ellipse</w:t>
      </w:r>
    </w:p>
    <w:p w:rsidR="00127968" w:rsidRDefault="00127968" w:rsidP="00F552B4">
      <w:pPr>
        <w:pStyle w:val="ListParagraph"/>
        <w:numPr>
          <w:ilvl w:val="0"/>
          <w:numId w:val="18"/>
        </w:numPr>
      </w:pPr>
      <w:r>
        <w:t>9.2  The Hyperbola</w:t>
      </w:r>
    </w:p>
    <w:p w:rsidR="00127968" w:rsidRDefault="00127968" w:rsidP="00F552B4">
      <w:pPr>
        <w:pStyle w:val="ListParagraph"/>
        <w:numPr>
          <w:ilvl w:val="0"/>
          <w:numId w:val="18"/>
        </w:numPr>
      </w:pPr>
      <w:r>
        <w:t>9.3  The Parabola</w:t>
      </w:r>
    </w:p>
    <w:p w:rsidR="00127968" w:rsidRDefault="00127968" w:rsidP="00F552B4">
      <w:pPr>
        <w:pStyle w:val="ListParagraph"/>
        <w:numPr>
          <w:ilvl w:val="0"/>
          <w:numId w:val="18"/>
        </w:numPr>
      </w:pPr>
      <w:r>
        <w:t>10.1  Sequences and Summation Notation</w:t>
      </w:r>
    </w:p>
    <w:p w:rsidR="00127968" w:rsidRDefault="00127968" w:rsidP="00F552B4">
      <w:pPr>
        <w:pStyle w:val="ListParagraph"/>
        <w:numPr>
          <w:ilvl w:val="0"/>
          <w:numId w:val="18"/>
        </w:numPr>
      </w:pPr>
      <w:r>
        <w:t>10.2  Arithmetic Sequences</w:t>
      </w:r>
    </w:p>
    <w:p w:rsidR="00F552B4" w:rsidRDefault="00127968" w:rsidP="00F552B4">
      <w:pPr>
        <w:pStyle w:val="ListParagraph"/>
        <w:numPr>
          <w:ilvl w:val="0"/>
          <w:numId w:val="18"/>
        </w:numPr>
      </w:pPr>
      <w:r>
        <w:t>10.3  Geometric Sequences and Series</w:t>
      </w:r>
    </w:p>
    <w:p w:rsidR="00F552B4" w:rsidRDefault="00F552B4" w:rsidP="00D44420">
      <w:pPr>
        <w:pStyle w:val="Heading1"/>
      </w:pPr>
    </w:p>
    <w:p w:rsidR="00E70040" w:rsidRDefault="00D44420" w:rsidP="00D44420">
      <w:pPr>
        <w:pStyle w:val="Heading1"/>
      </w:pPr>
      <w:r>
        <w:t>Course Components</w:t>
      </w:r>
    </w:p>
    <w:p w:rsidR="009A706E" w:rsidRDefault="009A706E" w:rsidP="009A706E"/>
    <w:p w:rsidR="00671518" w:rsidRPr="00DA569E" w:rsidRDefault="00671518" w:rsidP="00671518">
      <w:pPr>
        <w:pStyle w:val="ListParagraph"/>
        <w:numPr>
          <w:ilvl w:val="0"/>
          <w:numId w:val="23"/>
        </w:numPr>
      </w:pPr>
      <w:r w:rsidRPr="00DA569E">
        <w:lastRenderedPageBreak/>
        <w:t>Reading and Resource (not graded)</w:t>
      </w:r>
    </w:p>
    <w:p w:rsidR="00671518" w:rsidRDefault="00671518" w:rsidP="00671518">
      <w:pPr>
        <w:pStyle w:val="ListParagraph"/>
        <w:numPr>
          <w:ilvl w:val="0"/>
          <w:numId w:val="23"/>
        </w:numPr>
      </w:pPr>
      <w:r>
        <w:t>Homework</w:t>
      </w:r>
      <w:r w:rsidR="003B453A">
        <w:t>:</w:t>
      </w:r>
      <w:r>
        <w:t xml:space="preserve"> </w:t>
      </w:r>
      <w:r w:rsidR="003B453A">
        <w:t>E</w:t>
      </w:r>
      <w:r>
        <w:t xml:space="preserve">ach section </w:t>
      </w:r>
    </w:p>
    <w:p w:rsidR="00671518" w:rsidRDefault="00671518" w:rsidP="00671518">
      <w:pPr>
        <w:pStyle w:val="ListParagraph"/>
        <w:numPr>
          <w:ilvl w:val="0"/>
          <w:numId w:val="23"/>
        </w:numPr>
      </w:pPr>
      <w:r w:rsidRPr="00DA569E">
        <w:t>Quizzes</w:t>
      </w:r>
      <w:r>
        <w:t xml:space="preserve">: Two per Chapter </w:t>
      </w:r>
    </w:p>
    <w:p w:rsidR="00671518" w:rsidRDefault="00671518" w:rsidP="00671518">
      <w:pPr>
        <w:pStyle w:val="ListParagraph"/>
        <w:numPr>
          <w:ilvl w:val="0"/>
          <w:numId w:val="23"/>
        </w:numPr>
      </w:pPr>
      <w:r>
        <w:t xml:space="preserve">Exams: One per Chapter </w:t>
      </w:r>
    </w:p>
    <w:p w:rsidR="00671518" w:rsidRPr="00AD085D" w:rsidRDefault="00671518" w:rsidP="00671518">
      <w:pPr>
        <w:pStyle w:val="ListParagraph"/>
        <w:numPr>
          <w:ilvl w:val="0"/>
          <w:numId w:val="23"/>
        </w:numPr>
      </w:pPr>
      <w:r w:rsidRPr="00DA569E">
        <w:t>Final Exam</w:t>
      </w:r>
      <w:r>
        <w:t>: Comprehensive</w:t>
      </w:r>
    </w:p>
    <w:p w:rsidR="009A706E" w:rsidRDefault="009A706E" w:rsidP="00D44420">
      <w:pPr>
        <w:pStyle w:val="Heading1"/>
      </w:pPr>
    </w:p>
    <w:p w:rsidR="00AA5FBB" w:rsidRDefault="00AA5FBB" w:rsidP="00D44420">
      <w:pPr>
        <w:pStyle w:val="Heading1"/>
      </w:pPr>
      <w:r>
        <w:t xml:space="preserve">Course Grading </w:t>
      </w:r>
    </w:p>
    <w:p w:rsidR="00AA5FBB" w:rsidRDefault="00AA5FBB" w:rsidP="00AA5FBB"/>
    <w:p w:rsidR="00671518" w:rsidRDefault="00671518" w:rsidP="00671518">
      <w:pPr>
        <w:pStyle w:val="Heading2A"/>
      </w:pPr>
      <w:r>
        <w:t>Grading Breakdown</w:t>
      </w:r>
    </w:p>
    <w:p w:rsidR="00671518" w:rsidRPr="00AA5FBB" w:rsidRDefault="00671518" w:rsidP="00671518"/>
    <w:tbl>
      <w:tblPr>
        <w:tblW w:w="290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2159"/>
      </w:tblGrid>
      <w:tr w:rsidR="00671518" w:rsidRPr="00AA5FBB" w:rsidTr="003C40B9">
        <w:tc>
          <w:tcPr>
            <w:tcW w:w="3310" w:type="pct"/>
            <w:tcBorders>
              <w:bottom w:val="single" w:sz="18" w:space="0" w:color="auto"/>
            </w:tcBorders>
            <w:shd w:val="clear" w:color="auto" w:fill="365F91" w:themeFill="accent1" w:themeFillShade="BF"/>
          </w:tcPr>
          <w:p w:rsidR="00671518" w:rsidRPr="00AA5FBB" w:rsidRDefault="00671518" w:rsidP="003C40B9">
            <w:pPr>
              <w:jc w:val="center"/>
              <w:rPr>
                <w:rFonts w:ascii="Calibri" w:hAnsi="Calibri" w:cs="Calibri"/>
                <w:b/>
                <w:color w:val="FFFFFF" w:themeColor="background1"/>
                <w:sz w:val="22"/>
                <w:szCs w:val="22"/>
              </w:rPr>
            </w:pPr>
            <w:r w:rsidRPr="00AA5FBB">
              <w:rPr>
                <w:rFonts w:ascii="Calibri" w:hAnsi="Calibri" w:cs="Calibri"/>
                <w:b/>
                <w:color w:val="FFFFFF" w:themeColor="background1"/>
                <w:sz w:val="22"/>
                <w:szCs w:val="22"/>
              </w:rPr>
              <w:t>Activity Types</w:t>
            </w:r>
          </w:p>
        </w:tc>
        <w:tc>
          <w:tcPr>
            <w:tcW w:w="1690" w:type="pct"/>
            <w:tcBorders>
              <w:bottom w:val="single" w:sz="18" w:space="0" w:color="auto"/>
            </w:tcBorders>
            <w:shd w:val="clear" w:color="auto" w:fill="365F91" w:themeFill="accent1" w:themeFillShade="BF"/>
          </w:tcPr>
          <w:p w:rsidR="00671518" w:rsidRPr="00AA5FBB" w:rsidRDefault="00671518" w:rsidP="003C40B9">
            <w:pPr>
              <w:jc w:val="center"/>
              <w:rPr>
                <w:rFonts w:ascii="Calibri" w:hAnsi="Calibri" w:cs="Calibri"/>
                <w:b/>
                <w:color w:val="FFFFFF" w:themeColor="background1"/>
                <w:sz w:val="22"/>
                <w:szCs w:val="22"/>
              </w:rPr>
            </w:pPr>
            <w:r>
              <w:rPr>
                <w:rFonts w:ascii="Calibri" w:hAnsi="Calibri" w:cs="Calibri"/>
                <w:b/>
                <w:color w:val="FFFFFF" w:themeColor="background1"/>
                <w:sz w:val="22"/>
                <w:szCs w:val="22"/>
              </w:rPr>
              <w:t>Percentage</w:t>
            </w:r>
          </w:p>
        </w:tc>
      </w:tr>
      <w:tr w:rsidR="00671518" w:rsidRPr="00AA5FBB" w:rsidTr="003C40B9">
        <w:tc>
          <w:tcPr>
            <w:tcW w:w="3310" w:type="pct"/>
            <w:tcBorders>
              <w:top w:val="single" w:sz="18" w:space="0" w:color="auto"/>
            </w:tcBorders>
          </w:tcPr>
          <w:p w:rsidR="00671518" w:rsidRPr="00AA5FBB" w:rsidRDefault="00671518" w:rsidP="003C40B9">
            <w:pPr>
              <w:rPr>
                <w:rFonts w:ascii="Calibri" w:hAnsi="Calibri" w:cs="Calibri"/>
                <w:sz w:val="22"/>
                <w:szCs w:val="22"/>
              </w:rPr>
            </w:pPr>
            <w:r>
              <w:rPr>
                <w:rFonts w:ascii="Calibri" w:hAnsi="Calibri" w:cs="Calibri"/>
                <w:sz w:val="22"/>
                <w:szCs w:val="22"/>
              </w:rPr>
              <w:t xml:space="preserve">Homework  </w:t>
            </w:r>
            <w:r w:rsidRPr="00AA5FBB">
              <w:rPr>
                <w:rFonts w:ascii="Calibri" w:hAnsi="Calibri" w:cs="Calibri"/>
                <w:sz w:val="22"/>
                <w:szCs w:val="22"/>
              </w:rPr>
              <w:t>Assignments</w:t>
            </w:r>
          </w:p>
        </w:tc>
        <w:tc>
          <w:tcPr>
            <w:tcW w:w="1690" w:type="pct"/>
            <w:tcBorders>
              <w:top w:val="single" w:sz="18" w:space="0" w:color="auto"/>
            </w:tcBorders>
          </w:tcPr>
          <w:p w:rsidR="00671518" w:rsidRPr="00AA5FBB" w:rsidRDefault="00671518" w:rsidP="003C40B9">
            <w:pPr>
              <w:jc w:val="center"/>
              <w:rPr>
                <w:rFonts w:ascii="Calibri" w:hAnsi="Calibri" w:cs="Calibri"/>
                <w:sz w:val="22"/>
                <w:szCs w:val="22"/>
              </w:rPr>
            </w:pPr>
            <w:r>
              <w:rPr>
                <w:rFonts w:ascii="Calibri" w:hAnsi="Calibri" w:cs="Calibri"/>
                <w:sz w:val="22"/>
                <w:szCs w:val="22"/>
              </w:rPr>
              <w:t>20%</w:t>
            </w:r>
          </w:p>
        </w:tc>
      </w:tr>
      <w:tr w:rsidR="00671518" w:rsidRPr="00AA5FBB" w:rsidTr="003C40B9">
        <w:tc>
          <w:tcPr>
            <w:tcW w:w="3310" w:type="pct"/>
          </w:tcPr>
          <w:p w:rsidR="00671518" w:rsidRDefault="00671518" w:rsidP="003C40B9">
            <w:pPr>
              <w:rPr>
                <w:rFonts w:ascii="Calibri" w:hAnsi="Calibri" w:cs="Calibri"/>
                <w:sz w:val="22"/>
                <w:szCs w:val="22"/>
              </w:rPr>
            </w:pPr>
            <w:r>
              <w:rPr>
                <w:rFonts w:ascii="Calibri" w:hAnsi="Calibri" w:cs="Calibri"/>
                <w:sz w:val="22"/>
                <w:szCs w:val="22"/>
              </w:rPr>
              <w:t>Multi-Section Quizzes</w:t>
            </w:r>
          </w:p>
        </w:tc>
        <w:tc>
          <w:tcPr>
            <w:tcW w:w="1690" w:type="pct"/>
            <w:vAlign w:val="bottom"/>
          </w:tcPr>
          <w:p w:rsidR="00671518" w:rsidRDefault="00671518" w:rsidP="003C40B9">
            <w:pPr>
              <w:tabs>
                <w:tab w:val="left" w:pos="800"/>
                <w:tab w:val="center" w:pos="1116"/>
              </w:tabs>
              <w:jc w:val="center"/>
              <w:rPr>
                <w:rFonts w:ascii="Calibri" w:hAnsi="Calibri" w:cs="Calibri"/>
                <w:sz w:val="22"/>
                <w:szCs w:val="22"/>
              </w:rPr>
            </w:pPr>
            <w:r>
              <w:rPr>
                <w:rFonts w:ascii="Calibri" w:hAnsi="Calibri" w:cs="Calibri"/>
                <w:sz w:val="22"/>
                <w:szCs w:val="22"/>
              </w:rPr>
              <w:t>20%</w:t>
            </w:r>
          </w:p>
        </w:tc>
      </w:tr>
      <w:tr w:rsidR="00671518" w:rsidRPr="00AA5FBB" w:rsidTr="003C40B9">
        <w:tc>
          <w:tcPr>
            <w:tcW w:w="3310" w:type="pct"/>
          </w:tcPr>
          <w:p w:rsidR="00671518" w:rsidRPr="00AA5FBB" w:rsidRDefault="00671518" w:rsidP="003C40B9">
            <w:pPr>
              <w:rPr>
                <w:rFonts w:ascii="Calibri" w:hAnsi="Calibri" w:cs="Calibri"/>
                <w:sz w:val="22"/>
                <w:szCs w:val="22"/>
              </w:rPr>
            </w:pPr>
            <w:r>
              <w:rPr>
                <w:rFonts w:ascii="Calibri" w:hAnsi="Calibri" w:cs="Calibri"/>
                <w:sz w:val="22"/>
                <w:szCs w:val="22"/>
              </w:rPr>
              <w:t>Chapter  Exams</w:t>
            </w:r>
          </w:p>
        </w:tc>
        <w:tc>
          <w:tcPr>
            <w:tcW w:w="1690" w:type="pct"/>
            <w:vAlign w:val="bottom"/>
          </w:tcPr>
          <w:p w:rsidR="00671518" w:rsidRPr="00AA5FBB" w:rsidRDefault="00671518" w:rsidP="003C40B9">
            <w:pPr>
              <w:tabs>
                <w:tab w:val="left" w:pos="800"/>
                <w:tab w:val="center" w:pos="1116"/>
              </w:tabs>
              <w:jc w:val="center"/>
              <w:rPr>
                <w:rFonts w:ascii="Calibri" w:hAnsi="Calibri" w:cs="Calibri"/>
                <w:sz w:val="22"/>
                <w:szCs w:val="22"/>
              </w:rPr>
            </w:pPr>
            <w:r>
              <w:rPr>
                <w:rFonts w:ascii="Calibri" w:hAnsi="Calibri" w:cs="Calibri"/>
                <w:sz w:val="22"/>
                <w:szCs w:val="22"/>
              </w:rPr>
              <w:t>40%</w:t>
            </w:r>
          </w:p>
        </w:tc>
      </w:tr>
      <w:tr w:rsidR="00671518" w:rsidRPr="00AA5FBB" w:rsidTr="003C40B9">
        <w:tc>
          <w:tcPr>
            <w:tcW w:w="3310" w:type="pct"/>
            <w:tcBorders>
              <w:bottom w:val="single" w:sz="18" w:space="0" w:color="auto"/>
            </w:tcBorders>
            <w:shd w:val="clear" w:color="auto" w:fill="auto"/>
          </w:tcPr>
          <w:p w:rsidR="00671518" w:rsidRPr="00AA5FBB" w:rsidRDefault="00671518" w:rsidP="003C40B9">
            <w:pPr>
              <w:rPr>
                <w:rFonts w:ascii="Calibri" w:hAnsi="Calibri" w:cs="Calibri"/>
                <w:sz w:val="22"/>
                <w:szCs w:val="22"/>
              </w:rPr>
            </w:pPr>
            <w:r w:rsidRPr="00AA5FBB">
              <w:rPr>
                <w:rFonts w:ascii="Calibri" w:hAnsi="Calibri" w:cs="Calibri"/>
                <w:sz w:val="22"/>
                <w:szCs w:val="22"/>
              </w:rPr>
              <w:t>Final Exam</w:t>
            </w:r>
          </w:p>
        </w:tc>
        <w:tc>
          <w:tcPr>
            <w:tcW w:w="1690" w:type="pct"/>
            <w:tcBorders>
              <w:bottom w:val="single" w:sz="18" w:space="0" w:color="auto"/>
            </w:tcBorders>
            <w:shd w:val="clear" w:color="auto" w:fill="auto"/>
          </w:tcPr>
          <w:p w:rsidR="00671518" w:rsidRPr="00AA5FBB" w:rsidRDefault="00671518" w:rsidP="003C40B9">
            <w:pPr>
              <w:jc w:val="center"/>
              <w:rPr>
                <w:rFonts w:ascii="Calibri" w:hAnsi="Calibri" w:cs="Calibri"/>
                <w:sz w:val="22"/>
                <w:szCs w:val="22"/>
              </w:rPr>
            </w:pPr>
            <w:r>
              <w:rPr>
                <w:rFonts w:ascii="Calibri" w:hAnsi="Calibri" w:cs="Calibri"/>
                <w:sz w:val="22"/>
                <w:szCs w:val="22"/>
              </w:rPr>
              <w:t>20%</w:t>
            </w:r>
          </w:p>
        </w:tc>
      </w:tr>
      <w:tr w:rsidR="00671518" w:rsidRPr="00AA5FBB" w:rsidTr="003C40B9">
        <w:tc>
          <w:tcPr>
            <w:tcW w:w="3310" w:type="pct"/>
            <w:tcBorders>
              <w:top w:val="single" w:sz="18" w:space="0" w:color="auto"/>
              <w:left w:val="nil"/>
              <w:bottom w:val="nil"/>
              <w:right w:val="single" w:sz="4" w:space="0" w:color="auto"/>
            </w:tcBorders>
          </w:tcPr>
          <w:p w:rsidR="00671518" w:rsidRPr="00AA5FBB" w:rsidRDefault="00671518" w:rsidP="003C40B9">
            <w:pPr>
              <w:jc w:val="right"/>
              <w:rPr>
                <w:rFonts w:ascii="Calibri" w:hAnsi="Calibri" w:cs="Calibri"/>
                <w:sz w:val="22"/>
                <w:szCs w:val="22"/>
              </w:rPr>
            </w:pPr>
          </w:p>
        </w:tc>
        <w:tc>
          <w:tcPr>
            <w:tcW w:w="1690" w:type="pct"/>
            <w:tcBorders>
              <w:top w:val="single" w:sz="18" w:space="0" w:color="auto"/>
              <w:left w:val="single" w:sz="4" w:space="0" w:color="auto"/>
            </w:tcBorders>
          </w:tcPr>
          <w:p w:rsidR="00671518" w:rsidRPr="00203C90" w:rsidRDefault="00671518" w:rsidP="003C40B9">
            <w:pPr>
              <w:tabs>
                <w:tab w:val="left" w:pos="-18"/>
                <w:tab w:val="center" w:pos="1116"/>
              </w:tabs>
              <w:rPr>
                <w:rFonts w:ascii="Calibri" w:hAnsi="Calibri" w:cs="Calibri"/>
                <w:b/>
                <w:sz w:val="22"/>
                <w:szCs w:val="22"/>
              </w:rPr>
            </w:pPr>
            <w:r w:rsidRPr="00AA5FBB">
              <w:rPr>
                <w:rFonts w:ascii="Calibri" w:hAnsi="Calibri" w:cs="Calibri"/>
                <w:sz w:val="22"/>
                <w:szCs w:val="22"/>
              </w:rPr>
              <w:t xml:space="preserve">Total: </w:t>
            </w:r>
            <w:r>
              <w:rPr>
                <w:rFonts w:ascii="Calibri" w:hAnsi="Calibri" w:cs="Calibri"/>
                <w:sz w:val="22"/>
                <w:szCs w:val="22"/>
              </w:rPr>
              <w:t xml:space="preserve">   100%</w:t>
            </w:r>
          </w:p>
        </w:tc>
      </w:tr>
    </w:tbl>
    <w:p w:rsidR="00AA5FBB" w:rsidRDefault="00AA5FBB" w:rsidP="00AA5FBB"/>
    <w:p w:rsidR="00AA5FBB" w:rsidRDefault="00AA5FBB" w:rsidP="00AA5FBB">
      <w:pPr>
        <w:pStyle w:val="Heading2A"/>
      </w:pPr>
      <w:r>
        <w:t>Grading Conversion Table</w:t>
      </w:r>
    </w:p>
    <w:p w:rsidR="00AA5FBB" w:rsidRDefault="00AA5FBB" w:rsidP="00AA5FB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0"/>
      </w:tblGrid>
      <w:tr w:rsidR="00AA5FBB" w:rsidRPr="00AA5FBB" w:rsidTr="00AA5FBB">
        <w:tc>
          <w:tcPr>
            <w:tcW w:w="2130" w:type="dxa"/>
            <w:tcBorders>
              <w:bottom w:val="single" w:sz="18" w:space="0" w:color="auto"/>
            </w:tcBorders>
            <w:shd w:val="clear" w:color="auto" w:fill="365F91" w:themeFill="accent1" w:themeFillShade="BF"/>
          </w:tcPr>
          <w:p w:rsidR="00AA5FBB" w:rsidRPr="00AA5FBB" w:rsidRDefault="00AA5FBB" w:rsidP="004E55F0">
            <w:pPr>
              <w:jc w:val="center"/>
              <w:rPr>
                <w:rFonts w:ascii="Calibri" w:hAnsi="Calibri" w:cs="Calibri"/>
                <w:b/>
                <w:color w:val="FFFFFF" w:themeColor="background1"/>
                <w:sz w:val="22"/>
                <w:szCs w:val="22"/>
              </w:rPr>
            </w:pPr>
            <w:r w:rsidRPr="00AA5FBB">
              <w:rPr>
                <w:rFonts w:ascii="Calibri" w:hAnsi="Calibri" w:cs="Calibri"/>
                <w:b/>
                <w:color w:val="FFFFFF" w:themeColor="background1"/>
                <w:sz w:val="22"/>
                <w:szCs w:val="22"/>
              </w:rPr>
              <w:t>Letter Grade</w:t>
            </w:r>
          </w:p>
        </w:tc>
        <w:tc>
          <w:tcPr>
            <w:tcW w:w="2130" w:type="dxa"/>
            <w:tcBorders>
              <w:bottom w:val="single" w:sz="18" w:space="0" w:color="auto"/>
            </w:tcBorders>
            <w:shd w:val="clear" w:color="auto" w:fill="365F91" w:themeFill="accent1" w:themeFillShade="BF"/>
          </w:tcPr>
          <w:p w:rsidR="00AA5FBB" w:rsidRPr="00AA5FBB" w:rsidRDefault="00AA5FBB" w:rsidP="004E55F0">
            <w:pPr>
              <w:jc w:val="center"/>
              <w:rPr>
                <w:rFonts w:ascii="Calibri" w:hAnsi="Calibri" w:cs="Calibri"/>
                <w:b/>
                <w:color w:val="FFFFFF" w:themeColor="background1"/>
                <w:sz w:val="22"/>
                <w:szCs w:val="22"/>
              </w:rPr>
            </w:pPr>
            <w:r w:rsidRPr="00AA5FBB">
              <w:rPr>
                <w:rFonts w:ascii="Calibri" w:hAnsi="Calibri" w:cs="Calibri"/>
                <w:b/>
                <w:color w:val="FFFFFF" w:themeColor="background1"/>
                <w:sz w:val="22"/>
                <w:szCs w:val="22"/>
              </w:rPr>
              <w:t>Grade Point</w:t>
            </w:r>
          </w:p>
        </w:tc>
        <w:tc>
          <w:tcPr>
            <w:tcW w:w="2130" w:type="dxa"/>
            <w:tcBorders>
              <w:bottom w:val="single" w:sz="18" w:space="0" w:color="auto"/>
            </w:tcBorders>
            <w:shd w:val="clear" w:color="auto" w:fill="365F91" w:themeFill="accent1" w:themeFillShade="BF"/>
          </w:tcPr>
          <w:p w:rsidR="00AA5FBB" w:rsidRPr="00AA5FBB" w:rsidRDefault="00AA5FBB" w:rsidP="004E55F0">
            <w:pPr>
              <w:jc w:val="center"/>
              <w:rPr>
                <w:rFonts w:ascii="Calibri" w:hAnsi="Calibri" w:cs="Calibri"/>
                <w:b/>
                <w:color w:val="FFFFFF" w:themeColor="background1"/>
                <w:sz w:val="22"/>
                <w:szCs w:val="22"/>
              </w:rPr>
            </w:pPr>
            <w:r w:rsidRPr="00AA5FBB">
              <w:rPr>
                <w:rFonts w:ascii="Calibri" w:hAnsi="Calibri" w:cs="Calibri"/>
                <w:b/>
                <w:color w:val="FFFFFF" w:themeColor="background1"/>
                <w:sz w:val="22"/>
                <w:szCs w:val="22"/>
              </w:rPr>
              <w:t>Percentage</w:t>
            </w:r>
          </w:p>
        </w:tc>
      </w:tr>
      <w:tr w:rsidR="00AA5FBB" w:rsidRPr="00AA5FBB" w:rsidTr="004E55F0">
        <w:tc>
          <w:tcPr>
            <w:tcW w:w="2130" w:type="dxa"/>
            <w:tcBorders>
              <w:top w:val="single" w:sz="18" w:space="0" w:color="auto"/>
            </w:tcBorders>
          </w:tcPr>
          <w:p w:rsidR="00AA5FBB" w:rsidRPr="00AA5FBB" w:rsidRDefault="00AA5FBB" w:rsidP="004E55F0">
            <w:pPr>
              <w:ind w:left="792"/>
              <w:rPr>
                <w:rFonts w:ascii="Calibri" w:hAnsi="Calibri" w:cs="Calibri"/>
                <w:sz w:val="22"/>
                <w:szCs w:val="22"/>
              </w:rPr>
            </w:pPr>
            <w:r w:rsidRPr="00AA5FBB">
              <w:rPr>
                <w:rFonts w:ascii="Calibri" w:hAnsi="Calibri" w:cs="Calibri"/>
                <w:sz w:val="22"/>
                <w:szCs w:val="22"/>
              </w:rPr>
              <w:t>A</w:t>
            </w:r>
          </w:p>
        </w:tc>
        <w:tc>
          <w:tcPr>
            <w:tcW w:w="2130" w:type="dxa"/>
            <w:tcBorders>
              <w:top w:val="single" w:sz="18" w:space="0" w:color="auto"/>
            </w:tcBorders>
            <w:vAlign w:val="center"/>
          </w:tcPr>
          <w:p w:rsidR="00AA5FBB" w:rsidRPr="00AA5FBB" w:rsidRDefault="00AA5FBB" w:rsidP="004E55F0">
            <w:pPr>
              <w:tabs>
                <w:tab w:val="left" w:pos="800"/>
                <w:tab w:val="center" w:pos="1116"/>
              </w:tabs>
              <w:jc w:val="center"/>
              <w:rPr>
                <w:rFonts w:ascii="Calibri" w:hAnsi="Calibri" w:cs="Calibri"/>
                <w:sz w:val="22"/>
                <w:szCs w:val="22"/>
              </w:rPr>
            </w:pPr>
            <w:r w:rsidRPr="00AA5FBB">
              <w:rPr>
                <w:rFonts w:ascii="Calibri" w:hAnsi="Calibri" w:cs="Calibri"/>
                <w:sz w:val="22"/>
                <w:szCs w:val="22"/>
              </w:rPr>
              <w:t>4.0</w:t>
            </w:r>
          </w:p>
        </w:tc>
        <w:tc>
          <w:tcPr>
            <w:tcW w:w="2130" w:type="dxa"/>
            <w:tcBorders>
              <w:top w:val="single" w:sz="18" w:space="0" w:color="auto"/>
            </w:tcBorders>
            <w:vAlign w:val="center"/>
          </w:tcPr>
          <w:p w:rsidR="00AA5FBB" w:rsidRPr="00AA5FBB" w:rsidRDefault="009B39B8" w:rsidP="004E55F0">
            <w:pPr>
              <w:tabs>
                <w:tab w:val="left" w:pos="800"/>
                <w:tab w:val="center" w:pos="1116"/>
              </w:tabs>
              <w:jc w:val="center"/>
              <w:rPr>
                <w:rFonts w:ascii="Calibri" w:hAnsi="Calibri" w:cs="Calibri"/>
                <w:sz w:val="22"/>
                <w:szCs w:val="22"/>
              </w:rPr>
            </w:pPr>
            <w:r>
              <w:rPr>
                <w:rFonts w:ascii="Calibri" w:hAnsi="Calibri" w:cs="Calibri"/>
                <w:sz w:val="22"/>
                <w:szCs w:val="22"/>
              </w:rPr>
              <w:t>90</w:t>
            </w:r>
            <w:r w:rsidR="00AA5FBB" w:rsidRPr="00AA5FBB">
              <w:rPr>
                <w:rFonts w:ascii="Calibri" w:hAnsi="Calibri" w:cs="Calibri"/>
                <w:sz w:val="22"/>
                <w:szCs w:val="22"/>
              </w:rPr>
              <w:t>-100</w:t>
            </w:r>
          </w:p>
        </w:tc>
      </w:tr>
      <w:tr w:rsidR="00AA5FBB" w:rsidRPr="00AA5FBB" w:rsidTr="004E55F0">
        <w:tc>
          <w:tcPr>
            <w:tcW w:w="2130" w:type="dxa"/>
          </w:tcPr>
          <w:p w:rsidR="00AA5FBB" w:rsidRPr="00AA5FBB" w:rsidRDefault="00AA5FBB" w:rsidP="004E55F0">
            <w:pPr>
              <w:ind w:left="792"/>
              <w:rPr>
                <w:rFonts w:ascii="Calibri" w:hAnsi="Calibri" w:cs="Calibri"/>
                <w:sz w:val="22"/>
                <w:szCs w:val="22"/>
              </w:rPr>
            </w:pPr>
            <w:r w:rsidRPr="00AA5FBB">
              <w:rPr>
                <w:rFonts w:ascii="Calibri" w:hAnsi="Calibri" w:cs="Calibri"/>
                <w:sz w:val="22"/>
                <w:szCs w:val="22"/>
              </w:rPr>
              <w:t>B</w:t>
            </w:r>
          </w:p>
        </w:tc>
        <w:tc>
          <w:tcPr>
            <w:tcW w:w="2130" w:type="dxa"/>
            <w:vAlign w:val="center"/>
          </w:tcPr>
          <w:p w:rsidR="00AA5FBB" w:rsidRPr="00AA5FBB" w:rsidRDefault="00AA5FBB" w:rsidP="004E55F0">
            <w:pPr>
              <w:tabs>
                <w:tab w:val="left" w:pos="800"/>
                <w:tab w:val="center" w:pos="1116"/>
              </w:tabs>
              <w:jc w:val="center"/>
              <w:rPr>
                <w:rFonts w:ascii="Calibri" w:hAnsi="Calibri" w:cs="Calibri"/>
                <w:sz w:val="22"/>
                <w:szCs w:val="22"/>
              </w:rPr>
            </w:pPr>
            <w:r w:rsidRPr="00AA5FBB">
              <w:rPr>
                <w:rFonts w:ascii="Calibri" w:hAnsi="Calibri" w:cs="Calibri"/>
                <w:sz w:val="22"/>
                <w:szCs w:val="22"/>
              </w:rPr>
              <w:t>3.0</w:t>
            </w:r>
          </w:p>
        </w:tc>
        <w:tc>
          <w:tcPr>
            <w:tcW w:w="2130" w:type="dxa"/>
            <w:vAlign w:val="center"/>
          </w:tcPr>
          <w:p w:rsidR="00AA5FBB" w:rsidRPr="00AA5FBB" w:rsidRDefault="009B39B8" w:rsidP="004E55F0">
            <w:pPr>
              <w:tabs>
                <w:tab w:val="left" w:pos="800"/>
                <w:tab w:val="center" w:pos="1116"/>
              </w:tabs>
              <w:jc w:val="center"/>
              <w:rPr>
                <w:rFonts w:ascii="Calibri" w:hAnsi="Calibri" w:cs="Calibri"/>
                <w:sz w:val="22"/>
                <w:szCs w:val="22"/>
              </w:rPr>
            </w:pPr>
            <w:r>
              <w:rPr>
                <w:rFonts w:ascii="Calibri" w:hAnsi="Calibri" w:cs="Calibri"/>
                <w:sz w:val="22"/>
                <w:szCs w:val="22"/>
              </w:rPr>
              <w:t>80-89</w:t>
            </w:r>
          </w:p>
        </w:tc>
      </w:tr>
      <w:tr w:rsidR="00AA5FBB" w:rsidRPr="00AA5FBB" w:rsidTr="004E55F0">
        <w:tc>
          <w:tcPr>
            <w:tcW w:w="2130" w:type="dxa"/>
          </w:tcPr>
          <w:p w:rsidR="00AA5FBB" w:rsidRPr="00AA5FBB" w:rsidRDefault="00AA5FBB" w:rsidP="004E55F0">
            <w:pPr>
              <w:ind w:left="792"/>
              <w:rPr>
                <w:rFonts w:ascii="Calibri" w:hAnsi="Calibri" w:cs="Calibri"/>
                <w:sz w:val="22"/>
                <w:szCs w:val="22"/>
              </w:rPr>
            </w:pPr>
            <w:r w:rsidRPr="00AA5FBB">
              <w:rPr>
                <w:rFonts w:ascii="Calibri" w:hAnsi="Calibri" w:cs="Calibri"/>
                <w:sz w:val="22"/>
                <w:szCs w:val="22"/>
              </w:rPr>
              <w:t>C</w:t>
            </w:r>
          </w:p>
        </w:tc>
        <w:tc>
          <w:tcPr>
            <w:tcW w:w="2130" w:type="dxa"/>
            <w:vAlign w:val="center"/>
          </w:tcPr>
          <w:p w:rsidR="00AA5FBB" w:rsidRPr="00AA5FBB" w:rsidRDefault="00AA5FBB" w:rsidP="004E55F0">
            <w:pPr>
              <w:tabs>
                <w:tab w:val="left" w:pos="800"/>
                <w:tab w:val="center" w:pos="1116"/>
              </w:tabs>
              <w:jc w:val="center"/>
              <w:rPr>
                <w:rFonts w:ascii="Calibri" w:hAnsi="Calibri" w:cs="Calibri"/>
                <w:sz w:val="22"/>
                <w:szCs w:val="22"/>
              </w:rPr>
            </w:pPr>
            <w:r w:rsidRPr="00AA5FBB">
              <w:rPr>
                <w:rFonts w:ascii="Calibri" w:hAnsi="Calibri" w:cs="Calibri"/>
                <w:sz w:val="22"/>
                <w:szCs w:val="22"/>
              </w:rPr>
              <w:t>2.0</w:t>
            </w:r>
          </w:p>
        </w:tc>
        <w:tc>
          <w:tcPr>
            <w:tcW w:w="2130" w:type="dxa"/>
            <w:vAlign w:val="center"/>
          </w:tcPr>
          <w:p w:rsidR="00AA5FBB" w:rsidRPr="00AA5FBB" w:rsidRDefault="009B39B8" w:rsidP="004E55F0">
            <w:pPr>
              <w:tabs>
                <w:tab w:val="left" w:pos="800"/>
                <w:tab w:val="center" w:pos="1116"/>
              </w:tabs>
              <w:jc w:val="center"/>
              <w:rPr>
                <w:rFonts w:ascii="Calibri" w:hAnsi="Calibri" w:cs="Calibri"/>
                <w:sz w:val="22"/>
                <w:szCs w:val="22"/>
              </w:rPr>
            </w:pPr>
            <w:r>
              <w:rPr>
                <w:rFonts w:ascii="Calibri" w:hAnsi="Calibri" w:cs="Calibri"/>
                <w:sz w:val="22"/>
                <w:szCs w:val="22"/>
              </w:rPr>
              <w:t>70-79</w:t>
            </w:r>
          </w:p>
        </w:tc>
      </w:tr>
      <w:tr w:rsidR="00AA5FBB" w:rsidRPr="00AA5FBB" w:rsidTr="004E55F0">
        <w:tc>
          <w:tcPr>
            <w:tcW w:w="2130" w:type="dxa"/>
          </w:tcPr>
          <w:p w:rsidR="00AA5FBB" w:rsidRPr="00AA5FBB" w:rsidRDefault="00AA5FBB" w:rsidP="004E55F0">
            <w:pPr>
              <w:ind w:left="792"/>
              <w:rPr>
                <w:rFonts w:ascii="Calibri" w:hAnsi="Calibri" w:cs="Calibri"/>
                <w:sz w:val="22"/>
                <w:szCs w:val="22"/>
              </w:rPr>
            </w:pPr>
            <w:r w:rsidRPr="00AA5FBB">
              <w:rPr>
                <w:rFonts w:ascii="Calibri" w:hAnsi="Calibri" w:cs="Calibri"/>
                <w:sz w:val="22"/>
                <w:szCs w:val="22"/>
              </w:rPr>
              <w:t>D</w:t>
            </w:r>
          </w:p>
        </w:tc>
        <w:tc>
          <w:tcPr>
            <w:tcW w:w="2130" w:type="dxa"/>
            <w:vAlign w:val="center"/>
          </w:tcPr>
          <w:p w:rsidR="00AA5FBB" w:rsidRPr="00AA5FBB" w:rsidRDefault="00AA5FBB" w:rsidP="004E55F0">
            <w:pPr>
              <w:tabs>
                <w:tab w:val="left" w:pos="800"/>
                <w:tab w:val="center" w:pos="1116"/>
              </w:tabs>
              <w:jc w:val="center"/>
              <w:rPr>
                <w:rFonts w:ascii="Calibri" w:hAnsi="Calibri" w:cs="Calibri"/>
                <w:sz w:val="22"/>
                <w:szCs w:val="22"/>
              </w:rPr>
            </w:pPr>
            <w:r w:rsidRPr="00AA5FBB">
              <w:rPr>
                <w:rFonts w:ascii="Calibri" w:hAnsi="Calibri" w:cs="Calibri"/>
                <w:sz w:val="22"/>
                <w:szCs w:val="22"/>
              </w:rPr>
              <w:t>1.0</w:t>
            </w:r>
          </w:p>
        </w:tc>
        <w:tc>
          <w:tcPr>
            <w:tcW w:w="2130" w:type="dxa"/>
            <w:vAlign w:val="center"/>
          </w:tcPr>
          <w:p w:rsidR="00AA5FBB" w:rsidRPr="00AA5FBB" w:rsidRDefault="009B39B8" w:rsidP="004E55F0">
            <w:pPr>
              <w:tabs>
                <w:tab w:val="left" w:pos="800"/>
                <w:tab w:val="center" w:pos="1116"/>
              </w:tabs>
              <w:jc w:val="center"/>
              <w:rPr>
                <w:rFonts w:ascii="Calibri" w:hAnsi="Calibri" w:cs="Calibri"/>
                <w:sz w:val="22"/>
                <w:szCs w:val="22"/>
              </w:rPr>
            </w:pPr>
            <w:r>
              <w:rPr>
                <w:rFonts w:ascii="Calibri" w:hAnsi="Calibri" w:cs="Calibri"/>
                <w:sz w:val="22"/>
                <w:szCs w:val="22"/>
              </w:rPr>
              <w:t>60-69</w:t>
            </w:r>
          </w:p>
        </w:tc>
      </w:tr>
      <w:tr w:rsidR="00AA5FBB" w:rsidRPr="00AA5FBB" w:rsidTr="004E55F0">
        <w:tc>
          <w:tcPr>
            <w:tcW w:w="2130" w:type="dxa"/>
          </w:tcPr>
          <w:p w:rsidR="00AA5FBB" w:rsidRPr="00AA5FBB" w:rsidRDefault="00AA5FBB" w:rsidP="004E55F0">
            <w:pPr>
              <w:ind w:left="792"/>
              <w:rPr>
                <w:rFonts w:ascii="Calibri" w:hAnsi="Calibri" w:cs="Calibri"/>
                <w:sz w:val="22"/>
                <w:szCs w:val="22"/>
              </w:rPr>
            </w:pPr>
            <w:r w:rsidRPr="00AA5FBB">
              <w:rPr>
                <w:rFonts w:ascii="Calibri" w:hAnsi="Calibri" w:cs="Calibri"/>
                <w:sz w:val="22"/>
                <w:szCs w:val="22"/>
              </w:rPr>
              <w:t>F</w:t>
            </w:r>
          </w:p>
        </w:tc>
        <w:tc>
          <w:tcPr>
            <w:tcW w:w="2130" w:type="dxa"/>
            <w:vAlign w:val="center"/>
          </w:tcPr>
          <w:p w:rsidR="00AA5FBB" w:rsidRPr="00AA5FBB" w:rsidRDefault="00AA5FBB" w:rsidP="004E55F0">
            <w:pPr>
              <w:tabs>
                <w:tab w:val="left" w:pos="800"/>
                <w:tab w:val="center" w:pos="1116"/>
              </w:tabs>
              <w:jc w:val="center"/>
              <w:rPr>
                <w:rFonts w:ascii="Calibri" w:hAnsi="Calibri" w:cs="Calibri"/>
                <w:sz w:val="22"/>
                <w:szCs w:val="22"/>
              </w:rPr>
            </w:pPr>
            <w:r w:rsidRPr="00AA5FBB">
              <w:rPr>
                <w:rFonts w:ascii="Calibri" w:hAnsi="Calibri" w:cs="Calibri"/>
                <w:sz w:val="22"/>
                <w:szCs w:val="22"/>
              </w:rPr>
              <w:t>.0</w:t>
            </w:r>
          </w:p>
        </w:tc>
        <w:tc>
          <w:tcPr>
            <w:tcW w:w="2130" w:type="dxa"/>
            <w:vAlign w:val="center"/>
          </w:tcPr>
          <w:p w:rsidR="00AA5FBB" w:rsidRPr="00AA5FBB" w:rsidRDefault="00AA5FBB" w:rsidP="009B39B8">
            <w:pPr>
              <w:tabs>
                <w:tab w:val="left" w:pos="800"/>
                <w:tab w:val="center" w:pos="1116"/>
              </w:tabs>
              <w:jc w:val="center"/>
              <w:rPr>
                <w:rFonts w:ascii="Calibri" w:hAnsi="Calibri" w:cs="Calibri"/>
                <w:sz w:val="22"/>
                <w:szCs w:val="22"/>
              </w:rPr>
            </w:pPr>
            <w:r>
              <w:rPr>
                <w:rFonts w:ascii="Calibri" w:hAnsi="Calibri" w:cs="Calibri"/>
                <w:sz w:val="22"/>
                <w:szCs w:val="22"/>
              </w:rPr>
              <w:t>0-</w:t>
            </w:r>
            <w:r w:rsidR="009B39B8">
              <w:rPr>
                <w:rFonts w:ascii="Calibri" w:hAnsi="Calibri" w:cs="Calibri"/>
                <w:sz w:val="22"/>
                <w:szCs w:val="22"/>
              </w:rPr>
              <w:t>59</w:t>
            </w:r>
          </w:p>
        </w:tc>
      </w:tr>
    </w:tbl>
    <w:p w:rsidR="002A03B1" w:rsidRPr="00DA16C3" w:rsidRDefault="002A03B1" w:rsidP="00DA16C3">
      <w:pPr>
        <w:rPr>
          <w:i/>
          <w:sz w:val="22"/>
          <w:szCs w:val="22"/>
        </w:rPr>
      </w:pPr>
    </w:p>
    <w:p w:rsidR="00AA5FBB" w:rsidRDefault="00AA5FBB" w:rsidP="00D44420">
      <w:pPr>
        <w:pStyle w:val="Heading1"/>
      </w:pPr>
    </w:p>
    <w:p w:rsidR="00EA51D9" w:rsidRDefault="00007C34" w:rsidP="00D44420">
      <w:pPr>
        <w:pStyle w:val="Heading1"/>
      </w:pPr>
      <w:r w:rsidRPr="001814B3">
        <w:t>Professor</w:t>
      </w:r>
      <w:r w:rsidR="00596948" w:rsidRPr="001814B3">
        <w:t xml:space="preserve"> Expectations</w:t>
      </w:r>
    </w:p>
    <w:p w:rsidR="00596948" w:rsidRDefault="00596948" w:rsidP="001814B3">
      <w:pPr>
        <w:pStyle w:val="Heading1"/>
      </w:pPr>
    </w:p>
    <w:p w:rsidR="0076691B" w:rsidRDefault="0076691B" w:rsidP="0076691B">
      <w:pPr>
        <w:rPr>
          <w:rFonts w:cs="Calibri"/>
          <w:iCs/>
        </w:rPr>
      </w:pPr>
      <w:r w:rsidRPr="00A91905">
        <w:rPr>
          <w:rFonts w:cs="Calibri"/>
          <w:iCs/>
          <w:highlight w:val="cyan"/>
        </w:rPr>
        <w:t>InsertProfessorExpectationsHere</w:t>
      </w:r>
    </w:p>
    <w:p w:rsidR="00986449" w:rsidRDefault="00986449" w:rsidP="00986449">
      <w:pPr>
        <w:rPr>
          <w:rFonts w:cs="Calibri"/>
          <w:iCs/>
        </w:rPr>
      </w:pPr>
    </w:p>
    <w:p w:rsidR="00596948" w:rsidRPr="00007C34" w:rsidRDefault="00007C34" w:rsidP="00596948">
      <w:pPr>
        <w:pStyle w:val="Heading1"/>
        <w:rPr>
          <w:color w:val="FF0000"/>
        </w:rPr>
      </w:pPr>
      <w:r w:rsidRPr="001814B3">
        <w:t>Professor</w:t>
      </w:r>
      <w:r w:rsidR="00596948" w:rsidRPr="001814B3">
        <w:t xml:space="preserve"> Communication Expectations</w:t>
      </w:r>
      <w:r w:rsidR="00596948" w:rsidRPr="00007C34">
        <w:rPr>
          <w:color w:val="FF0000"/>
        </w:rPr>
        <w:t xml:space="preserve"> </w:t>
      </w:r>
    </w:p>
    <w:p w:rsidR="00596948" w:rsidRDefault="00596948" w:rsidP="00596948"/>
    <w:p w:rsidR="0076691B" w:rsidRPr="001814B3" w:rsidRDefault="0076691B" w:rsidP="0076691B">
      <w:pPr>
        <w:rPr>
          <w:rFonts w:cs="Calibri"/>
          <w:iCs/>
        </w:rPr>
      </w:pPr>
      <w:r w:rsidRPr="00A91905">
        <w:rPr>
          <w:rFonts w:cs="Calibri"/>
          <w:iCs/>
          <w:highlight w:val="cyan"/>
        </w:rPr>
        <w:t>InsertProfessorCommunicationExpectationsHere</w:t>
      </w:r>
    </w:p>
    <w:p w:rsidR="00986449" w:rsidRDefault="00986449" w:rsidP="00986449"/>
    <w:p w:rsidR="001814B3" w:rsidRPr="00596948" w:rsidRDefault="001814B3" w:rsidP="00596948"/>
    <w:p w:rsidR="00526A91" w:rsidRDefault="00526A91" w:rsidP="00526A91">
      <w:pPr>
        <w:pStyle w:val="Heading1"/>
      </w:pPr>
      <w:r>
        <w:t>College Policies</w:t>
      </w:r>
    </w:p>
    <w:p w:rsidR="00526A91" w:rsidRDefault="00526A91" w:rsidP="00526A91"/>
    <w:tbl>
      <w:tblPr>
        <w:tblW w:w="0" w:type="auto"/>
        <w:shd w:val="clear" w:color="auto" w:fill="EEECE1" w:themeFill="background2"/>
        <w:tblLook w:val="04A0"/>
      </w:tblPr>
      <w:tblGrid>
        <w:gridCol w:w="11016"/>
      </w:tblGrid>
      <w:tr w:rsidR="00526A91" w:rsidTr="00526A91">
        <w:tc>
          <w:tcPr>
            <w:tcW w:w="11016" w:type="dxa"/>
            <w:shd w:val="clear" w:color="auto" w:fill="EEECE1" w:themeFill="background2"/>
          </w:tcPr>
          <w:p w:rsidR="006A5843" w:rsidRDefault="006A5843"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Satisfactory Academic Progress (</w:t>
            </w:r>
            <w:r>
              <w:rPr>
                <w:rStyle w:val="Strong"/>
                <w:rFonts w:asciiTheme="minorHAnsi" w:hAnsiTheme="minorHAnsi" w:cstheme="minorHAnsi"/>
              </w:rPr>
              <w:t>SAP</w:t>
            </w:r>
            <w:r w:rsidRPr="00526A91">
              <w:rPr>
                <w:rStyle w:val="Strong"/>
                <w:rFonts w:asciiTheme="minorHAnsi" w:hAnsiTheme="minorHAnsi" w:cstheme="minorHAnsi"/>
              </w:rPr>
              <w:t xml:space="preserve">) </w:t>
            </w:r>
          </w:p>
          <w:p w:rsidR="00526A91" w:rsidRPr="00526A91" w:rsidRDefault="00526A91"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Pr>
                <w:rFonts w:asciiTheme="minorHAnsi" w:hAnsiTheme="minorHAnsi" w:cstheme="minorHAnsi"/>
              </w:rPr>
              <w:t>TSC</w:t>
            </w:r>
            <w:r w:rsidRPr="00526A91">
              <w:rPr>
                <w:rFonts w:asciiTheme="minorHAnsi" w:hAnsiTheme="minorHAnsi" w:cstheme="minorHAnsi"/>
              </w:rPr>
              <w:t xml:space="preserve"> monitors academic progress every fall and spring semester to identify those students who are experiencing difficulty with their courses.  Satisfactory Academic Progress (SAP) is based upon two </w:t>
            </w:r>
            <w:r w:rsidRPr="00526A91">
              <w:rPr>
                <w:rFonts w:asciiTheme="minorHAnsi" w:hAnsiTheme="minorHAnsi" w:cstheme="minorHAnsi"/>
              </w:rPr>
              <w:lastRenderedPageBreak/>
              <w:t>components</w:t>
            </w:r>
            <w:r w:rsidRPr="00526A91">
              <w:rPr>
                <w:rFonts w:asciiTheme="minorHAnsi" w:hAnsiTheme="minorHAnsi" w:cstheme="minorHAnsi"/>
                <w:b/>
              </w:rPr>
              <w:t xml:space="preserve">:  </w:t>
            </w:r>
            <w:r w:rsidRPr="00526A91">
              <w:rPr>
                <w:rFonts w:asciiTheme="minorHAnsi" w:hAnsiTheme="minorHAnsi" w:cstheme="minorHAnsi"/>
              </w:rPr>
              <w:t xml:space="preserve">GPA of 2.0 or higher and successful course completion of at least </w:t>
            </w:r>
            <w:r w:rsidR="00D62EC5">
              <w:rPr>
                <w:rFonts w:asciiTheme="minorHAnsi" w:hAnsiTheme="minorHAnsi" w:cstheme="minorHAnsi"/>
              </w:rPr>
              <w:t>67</w:t>
            </w:r>
            <w:r w:rsidRPr="00526A91">
              <w:rPr>
                <w:rFonts w:asciiTheme="minorHAnsi" w:hAnsiTheme="minorHAnsi" w:cstheme="minorHAnsi"/>
              </w:rPr>
              <w:t xml:space="preserve">% of course work attempted.  Students remain in good standing with the </w:t>
            </w:r>
            <w:r w:rsidR="009B3DD5">
              <w:rPr>
                <w:rFonts w:asciiTheme="minorHAnsi" w:hAnsiTheme="minorHAnsi" w:cstheme="minorHAnsi"/>
              </w:rPr>
              <w:t>College</w:t>
            </w:r>
            <w:r w:rsidRPr="00526A91">
              <w:rPr>
                <w:rFonts w:asciiTheme="minorHAnsi" w:hAnsiTheme="minorHAnsi" w:cstheme="minorHAnsi"/>
              </w:rPr>
              <w:t xml:space="preserve"> and Financial Aid when both criteria are met.  Students who do not maintain these required minimum standards will be placed on probation or suspension as appropriate.  The complete Satisfactory Academic Progress policy and the Undergraduate Satisfactory Academic Progress for Financial Aid policy can be found in the current Undergraduate Catalog.</w:t>
            </w:r>
            <w:r w:rsidRPr="00526A91">
              <w:rPr>
                <w:rFonts w:asciiTheme="minorHAnsi" w:hAnsiTheme="minorHAnsi" w:cstheme="minorHAnsi"/>
                <w:b/>
              </w:rPr>
              <w:t> </w:t>
            </w:r>
            <w:r w:rsidRPr="00526A91">
              <w:rPr>
                <w:rFonts w:asciiTheme="minorHAnsi" w:hAnsiTheme="minorHAnsi" w:cstheme="minorHAnsi"/>
              </w:rPr>
              <w:t xml:space="preserve">  </w:t>
            </w:r>
          </w:p>
          <w:p w:rsidR="00526A91" w:rsidRDefault="00526A91" w:rsidP="00526A91">
            <w:pPr>
              <w:pStyle w:val="NormalWeb"/>
              <w:spacing w:before="0" w:beforeAutospacing="0" w:after="0" w:afterAutospacing="0"/>
              <w:rPr>
                <w:rFonts w:asciiTheme="minorHAnsi" w:hAnsiTheme="minorHAnsi" w:cstheme="minorHAnsi"/>
              </w:rPr>
            </w:pPr>
          </w:p>
          <w:p w:rsidR="006A5843" w:rsidRPr="00081EEC" w:rsidRDefault="00081EEC" w:rsidP="00526A91">
            <w:pPr>
              <w:pStyle w:val="NormalWeb"/>
              <w:spacing w:before="0" w:beforeAutospacing="0" w:after="0" w:afterAutospacing="0"/>
              <w:rPr>
                <w:rFonts w:asciiTheme="minorHAnsi" w:hAnsiTheme="minorHAnsi" w:cstheme="minorHAnsi"/>
                <w:b/>
              </w:rPr>
            </w:pPr>
            <w:r>
              <w:rPr>
                <w:rFonts w:asciiTheme="minorHAnsi" w:hAnsiTheme="minorHAnsi" w:cstheme="minorHAnsi"/>
                <w:b/>
              </w:rPr>
              <w:t>“</w:t>
            </w:r>
            <w:r w:rsidRPr="00081EEC">
              <w:rPr>
                <w:rFonts w:asciiTheme="minorHAnsi" w:hAnsiTheme="minorHAnsi" w:cstheme="minorHAnsi"/>
                <w:b/>
              </w:rPr>
              <w:t>Incomplete</w:t>
            </w:r>
            <w:r>
              <w:rPr>
                <w:rFonts w:asciiTheme="minorHAnsi" w:hAnsiTheme="minorHAnsi" w:cstheme="minorHAnsi"/>
                <w:b/>
              </w:rPr>
              <w:t>”</w:t>
            </w:r>
            <w:r w:rsidRPr="00081EEC">
              <w:rPr>
                <w:rFonts w:asciiTheme="minorHAnsi" w:hAnsiTheme="minorHAnsi" w:cstheme="minorHAnsi"/>
                <w:b/>
              </w:rPr>
              <w:t xml:space="preserve"> Grades</w:t>
            </w:r>
          </w:p>
          <w:p w:rsidR="00081EEC" w:rsidRPr="00526A91" w:rsidRDefault="00081EEC" w:rsidP="00526A91">
            <w:pPr>
              <w:pStyle w:val="NormalWeb"/>
              <w:spacing w:before="0" w:beforeAutospacing="0" w:after="0" w:afterAutospacing="0"/>
              <w:rPr>
                <w:rFonts w:asciiTheme="minorHAnsi" w:hAnsiTheme="minorHAnsi" w:cstheme="minorHAnsi"/>
              </w:rPr>
            </w:pPr>
          </w:p>
          <w:p w:rsidR="00081EEC" w:rsidRDefault="00081EEC" w:rsidP="00081EEC">
            <w:r>
              <w:t xml:space="preserve">“Incomplete” grades are given only at the </w:t>
            </w:r>
            <w:r w:rsidR="00007C34">
              <w:t>professor</w:t>
            </w:r>
            <w:r>
              <w:t xml:space="preserve">’s discretion, and </w:t>
            </w:r>
            <w:r w:rsidRPr="00081EEC">
              <w:rPr>
                <w:i/>
              </w:rPr>
              <w:t>must be requested by the student</w:t>
            </w:r>
            <w:r>
              <w:t xml:space="preserve">.  If the </w:t>
            </w:r>
            <w:r w:rsidR="00007C34">
              <w:t>professor</w:t>
            </w:r>
            <w:r w:rsidR="009B3DD5">
              <w:t xml:space="preserve"> grants the “Incomplete,” </w:t>
            </w:r>
            <w:r>
              <w:t>the student has until ninety (90) days after the beginning of the next regular semester to complete the course requirements. If the student does not complete the course requirements within the deadline, the grade of “Incomplete” will automatically convert into a grade of “F</w:t>
            </w:r>
            <w:r w:rsidR="009B3DD5">
              <w:t>.”</w:t>
            </w:r>
            <w:r>
              <w:t xml:space="preserve">  Please note that “Incomplete’s” are given only in an emergency or when there are extenuating circumstances.  Refer to the catalog for additional details about receiving a grade of “Incomplete” in a course.</w:t>
            </w:r>
          </w:p>
          <w:p w:rsidR="00081EEC" w:rsidRDefault="00081EEC" w:rsidP="00526A91">
            <w:pPr>
              <w:pStyle w:val="NormalWeb"/>
              <w:spacing w:before="0" w:beforeAutospacing="0" w:after="0" w:afterAutospacing="0"/>
              <w:rPr>
                <w:rStyle w:val="Strong"/>
                <w:rFonts w:asciiTheme="minorHAnsi" w:hAnsiTheme="minorHAnsi" w:cstheme="minorHAnsi"/>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Academic Integrity</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 xml:space="preserve">Students are expected to be above reproach in all scholastic activities.  Students who engage in scholastic dishonesty are subject to disciplinary penalties, including the possibility of failure in the course and expulsion from the </w:t>
            </w:r>
            <w:r w:rsidR="009B3DD5">
              <w:rPr>
                <w:rFonts w:asciiTheme="minorHAnsi" w:hAnsiTheme="minorHAnsi" w:cstheme="minorHAnsi"/>
              </w:rPr>
              <w:t>College</w:t>
            </w:r>
            <w:r w:rsidRPr="00526A91">
              <w:rPr>
                <w:rFonts w:asciiTheme="minorHAnsi" w:hAnsiTheme="minorHAnsi" w:cstheme="minorHAnsi"/>
              </w:rPr>
              <w:t xml:space="preserve">.  Scholastic dishonesty includes but is not limited to cheating, plagiarism, collusion, </w:t>
            </w:r>
            <w:r w:rsidR="007C488B" w:rsidRPr="00526A91">
              <w:rPr>
                <w:rFonts w:asciiTheme="minorHAnsi" w:hAnsiTheme="minorHAnsi" w:cstheme="minorHAnsi"/>
              </w:rPr>
              <w:t>and submission</w:t>
            </w:r>
            <w:r w:rsidRPr="00526A91">
              <w:rPr>
                <w:rFonts w:asciiTheme="minorHAnsi" w:hAnsiTheme="minorHAnsi" w:cstheme="minorHAnsi"/>
              </w:rPr>
              <w:t xml:space="preserve">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w:t>
            </w:r>
            <w:r w:rsidR="00641F11">
              <w:rPr>
                <w:rFonts w:asciiTheme="minorHAnsi" w:hAnsiTheme="minorHAnsi" w:cstheme="minorHAnsi"/>
              </w:rPr>
              <w:t>,</w:t>
            </w:r>
            <w:r w:rsidRPr="00526A91">
              <w:rPr>
                <w:rFonts w:asciiTheme="minorHAnsi" w:hAnsiTheme="minorHAnsi" w:cstheme="minorHAnsi"/>
              </w:rPr>
              <w:t xml:space="preserve"> and the integrity of the College, policies on scholastic dishonesty will be strictly enforced. </w:t>
            </w:r>
          </w:p>
          <w:p w:rsidR="006A5843" w:rsidRPr="00526A91" w:rsidRDefault="006A5843"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 xml:space="preserve">All scholastic dishonesty incidents will be reported to the </w:t>
            </w:r>
            <w:r w:rsidR="009B3DD5">
              <w:rPr>
                <w:rFonts w:asciiTheme="minorHAnsi" w:hAnsiTheme="minorHAnsi" w:cstheme="minorHAnsi"/>
              </w:rPr>
              <w:t>Vice President of Student Services</w:t>
            </w:r>
            <w:r w:rsidRPr="00526A91">
              <w:rPr>
                <w:rFonts w:asciiTheme="minorHAnsi" w:hAnsiTheme="minorHAnsi" w:cstheme="minorHAnsi"/>
              </w:rPr>
              <w:t>.  Do not allow your peers to pressure you to cheat.  Your grade, academic standing</w:t>
            </w:r>
            <w:r w:rsidR="00641F11">
              <w:rPr>
                <w:rFonts w:asciiTheme="minorHAnsi" w:hAnsiTheme="minorHAnsi" w:cstheme="minorHAnsi"/>
              </w:rPr>
              <w:t>,</w:t>
            </w:r>
            <w:r w:rsidRPr="00526A91">
              <w:rPr>
                <w:rFonts w:asciiTheme="minorHAnsi" w:hAnsiTheme="minorHAnsi" w:cstheme="minorHAnsi"/>
              </w:rPr>
              <w:t xml:space="preserve"> and personal reputation are at stake.</w:t>
            </w:r>
          </w:p>
          <w:p w:rsidR="006A5843" w:rsidRPr="00526A91" w:rsidRDefault="006A5843" w:rsidP="00526A91">
            <w:pPr>
              <w:pStyle w:val="NormalWeb"/>
              <w:spacing w:before="0" w:beforeAutospacing="0" w:after="0" w:afterAutospacing="0"/>
              <w:rPr>
                <w:rFonts w:asciiTheme="minorHAnsi" w:hAnsiTheme="minorHAnsi" w:cstheme="minorHAnsi"/>
              </w:rPr>
            </w:pPr>
          </w:p>
          <w:p w:rsidR="00526A91" w:rsidRPr="00526A91" w:rsidRDefault="00526A91" w:rsidP="00526A91">
            <w:pPr>
              <w:autoSpaceDE w:val="0"/>
              <w:autoSpaceDN w:val="0"/>
              <w:adjustRightInd w:val="0"/>
            </w:pPr>
            <w:r w:rsidRPr="00526A91">
              <w:t>Some components of this course are designed to be highly interactive with students helping each other learn; however, all written assignments are designed to represent the efforts of each student individually and not to be shared. When students submit their efforts for grading they are attesting that they have abided by this rule.</w:t>
            </w:r>
          </w:p>
          <w:p w:rsidR="00526A91" w:rsidRPr="00526A91" w:rsidRDefault="00526A91" w:rsidP="00526A91">
            <w:pPr>
              <w:pStyle w:val="Default"/>
              <w:rPr>
                <w:rFonts w:asciiTheme="minorHAnsi" w:hAnsiTheme="minorHAnsi" w:cstheme="minorHAnsi"/>
              </w:rPr>
            </w:pPr>
          </w:p>
          <w:p w:rsidR="00526A91" w:rsidRPr="00526A91" w:rsidRDefault="00526A91" w:rsidP="00526A91">
            <w:pPr>
              <w:pStyle w:val="Default"/>
              <w:rPr>
                <w:rFonts w:asciiTheme="minorHAnsi" w:hAnsiTheme="minorHAnsi" w:cstheme="minorHAnsi"/>
              </w:rPr>
            </w:pPr>
            <w:r w:rsidRPr="00526A91">
              <w:rPr>
                <w:rFonts w:asciiTheme="minorHAnsi" w:hAnsiTheme="minorHAnsi" w:cstheme="minorHAnsi"/>
              </w:rPr>
              <w:t xml:space="preserve">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Papers and other assignments may be submitted to an external agency for verification of originality and authenticity. </w:t>
            </w:r>
          </w:p>
          <w:p w:rsidR="00526A91" w:rsidRPr="00526A91" w:rsidRDefault="00526A91" w:rsidP="00526A91">
            <w:pPr>
              <w:pStyle w:val="Default"/>
              <w:rPr>
                <w:rFonts w:asciiTheme="minorHAnsi" w:hAnsiTheme="minorHAnsi" w:cstheme="minorHAnsi"/>
              </w:rPr>
            </w:pPr>
          </w:p>
          <w:p w:rsidR="00526A91" w:rsidRDefault="00526A91" w:rsidP="00526A91">
            <w:pPr>
              <w:autoSpaceDE w:val="0"/>
              <w:autoSpaceDN w:val="0"/>
              <w:adjustRightInd w:val="0"/>
            </w:pPr>
            <w:r w:rsidRPr="00526A91">
              <w:t>By enrolling in this course, the student expressly grants TSC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r>
              <w:t>.</w:t>
            </w:r>
          </w:p>
          <w:p w:rsidR="00526A91" w:rsidRDefault="00526A91" w:rsidP="00526A91">
            <w:pPr>
              <w:autoSpaceDE w:val="0"/>
              <w:autoSpaceDN w:val="0"/>
              <w:adjustRightInd w:val="0"/>
              <w:rPr>
                <w:b/>
                <w:bCs/>
              </w:rPr>
            </w:pPr>
          </w:p>
          <w:p w:rsidR="006A5843" w:rsidRPr="00526A91" w:rsidRDefault="006A5843" w:rsidP="00526A91">
            <w:pPr>
              <w:autoSpaceDE w:val="0"/>
              <w:autoSpaceDN w:val="0"/>
              <w:adjustRightInd w:val="0"/>
              <w:rPr>
                <w:b/>
                <w:bCs/>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lastRenderedPageBreak/>
              <w:t>Academic Responsibilities</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Fonts w:asciiTheme="minorHAnsi" w:hAnsiTheme="minorHAnsi" w:cstheme="minorHAnsi"/>
              </w:rPr>
            </w:pPr>
            <w:r w:rsidRPr="00526A91">
              <w:rPr>
                <w:rFonts w:asciiTheme="minorHAnsi" w:hAnsiTheme="minorHAnsi" w:cstheme="minorHAnsi"/>
              </w:rPr>
              <w:t>Students are expected to be diligent in their studies and complete class requirements. Students are responsible for all class work and assignments. On recommendation of the professor’s concerned and with the approval of the Dean, students may, at any time, be dropped from courses. This may result in a “W” or “F” on the student’s permanent record.</w:t>
            </w:r>
          </w:p>
          <w:p w:rsidR="00526A91" w:rsidRDefault="00526A91" w:rsidP="00526A91">
            <w:pPr>
              <w:pStyle w:val="NormalWeb"/>
              <w:spacing w:before="0" w:beforeAutospacing="0" w:after="0" w:afterAutospacing="0"/>
              <w:rPr>
                <w:rFonts w:asciiTheme="minorHAnsi" w:hAnsiTheme="minorHAnsi" w:cstheme="minorHAnsi"/>
              </w:rPr>
            </w:pPr>
          </w:p>
          <w:p w:rsidR="006A5843" w:rsidRPr="00526A91" w:rsidRDefault="006A5843" w:rsidP="00526A91">
            <w:pPr>
              <w:pStyle w:val="NormalWeb"/>
              <w:spacing w:before="0" w:beforeAutospacing="0" w:after="0" w:afterAutospacing="0"/>
              <w:rPr>
                <w:rFonts w:asciiTheme="minorHAnsi" w:hAnsiTheme="minorHAnsi" w:cstheme="minorHAnsi"/>
              </w:rPr>
            </w:pPr>
          </w:p>
          <w:p w:rsidR="00526A91" w:rsidRDefault="00526A91" w:rsidP="00526A91">
            <w:pPr>
              <w:pStyle w:val="NormalWeb"/>
              <w:spacing w:before="0" w:beforeAutospacing="0" w:after="0" w:afterAutospacing="0"/>
              <w:rPr>
                <w:rStyle w:val="Strong"/>
                <w:rFonts w:asciiTheme="minorHAnsi" w:hAnsiTheme="minorHAnsi" w:cstheme="minorHAnsi"/>
              </w:rPr>
            </w:pPr>
            <w:r w:rsidRPr="00526A91">
              <w:rPr>
                <w:rStyle w:val="Strong"/>
                <w:rFonts w:asciiTheme="minorHAnsi" w:hAnsiTheme="minorHAnsi" w:cstheme="minorHAnsi"/>
              </w:rPr>
              <w:t>Americans with Disabilities Act (ADA)</w:t>
            </w:r>
          </w:p>
          <w:p w:rsidR="00526A91" w:rsidRPr="00526A91" w:rsidRDefault="00526A91" w:rsidP="00526A91">
            <w:pPr>
              <w:pStyle w:val="NormalWeb"/>
              <w:spacing w:before="0" w:beforeAutospacing="0" w:after="0" w:afterAutospacing="0"/>
              <w:rPr>
                <w:rFonts w:asciiTheme="minorHAnsi" w:hAnsiTheme="minorHAnsi" w:cstheme="minorHAnsi"/>
              </w:rPr>
            </w:pPr>
          </w:p>
          <w:p w:rsidR="00526A91" w:rsidRPr="00526A91" w:rsidRDefault="00526A91" w:rsidP="00526A91">
            <w:r w:rsidRPr="00526A91">
              <w:t xml:space="preserve">Students with disabilities, including learning disabilities, who wish to request accommodations in this </w:t>
            </w:r>
            <w:proofErr w:type="gramStart"/>
            <w:r w:rsidRPr="00526A91">
              <w:t>class</w:t>
            </w:r>
            <w:proofErr w:type="gramEnd"/>
            <w:r w:rsidRPr="00526A91">
              <w:t xml:space="preserve"> should notify </w:t>
            </w:r>
            <w:r w:rsidRPr="00203C90">
              <w:t xml:space="preserve">the Disability </w:t>
            </w:r>
            <w:r w:rsidR="009B3DD5">
              <w:t>Support Services</w:t>
            </w:r>
            <w:r w:rsidRPr="00203C90">
              <w:t xml:space="preserve"> early </w:t>
            </w:r>
            <w:r w:rsidRPr="00526A91">
              <w:t xml:space="preserve">in the semester so that the appropriate arrangements may be made.  In accordance with federal law, a student requesting accommodations must provide documentation of his/her disability to the Disability Services counselor.  </w:t>
            </w:r>
          </w:p>
          <w:p w:rsidR="00526A91" w:rsidRDefault="00526A91" w:rsidP="00526A91"/>
        </w:tc>
      </w:tr>
    </w:tbl>
    <w:p w:rsidR="00526A91" w:rsidRDefault="00526A91" w:rsidP="00526A91"/>
    <w:p w:rsidR="00526A91" w:rsidRPr="006A5843" w:rsidRDefault="006A5843" w:rsidP="00526A91">
      <w:pPr>
        <w:rPr>
          <w:i/>
          <w:sz w:val="22"/>
          <w:szCs w:val="22"/>
        </w:rPr>
      </w:pPr>
      <w:r w:rsidRPr="006A5843">
        <w:rPr>
          <w:i/>
          <w:sz w:val="22"/>
          <w:szCs w:val="22"/>
        </w:rPr>
        <w:t xml:space="preserve">Note: </w:t>
      </w:r>
      <w:r>
        <w:rPr>
          <w:i/>
          <w:sz w:val="22"/>
          <w:szCs w:val="22"/>
        </w:rPr>
        <w:t xml:space="preserve"> </w:t>
      </w:r>
      <w:r w:rsidR="00526A91" w:rsidRPr="006A5843">
        <w:rPr>
          <w:i/>
          <w:sz w:val="22"/>
          <w:szCs w:val="22"/>
        </w:rPr>
        <w:t>Course content and schedule may vary from that specified by this syllabus (and related documents)</w:t>
      </w:r>
      <w:r>
        <w:rPr>
          <w:i/>
          <w:sz w:val="22"/>
          <w:szCs w:val="22"/>
        </w:rPr>
        <w:t>,</w:t>
      </w:r>
      <w:r w:rsidR="00526A91" w:rsidRPr="006A5843">
        <w:rPr>
          <w:i/>
          <w:sz w:val="22"/>
          <w:szCs w:val="22"/>
        </w:rPr>
        <w:t xml:space="preserve"> to accommodate contingencies that may develop during the course. The </w:t>
      </w:r>
      <w:r w:rsidR="00007C34">
        <w:rPr>
          <w:i/>
          <w:sz w:val="22"/>
          <w:szCs w:val="22"/>
        </w:rPr>
        <w:t>professor</w:t>
      </w:r>
      <w:r w:rsidR="00526A91" w:rsidRPr="006A5843">
        <w:rPr>
          <w:i/>
          <w:sz w:val="22"/>
          <w:szCs w:val="22"/>
        </w:rPr>
        <w:t xml:space="preserve"> will explain the rationale for any variance as it occurs.</w:t>
      </w:r>
    </w:p>
    <w:p w:rsidR="00BF230A" w:rsidRPr="00526A91" w:rsidRDefault="00BF230A" w:rsidP="00526A91"/>
    <w:sectPr w:rsidR="00BF230A" w:rsidRPr="00526A91" w:rsidSect="00E7004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C4" w:rsidRDefault="00365FC4" w:rsidP="00D44420">
      <w:r>
        <w:separator/>
      </w:r>
    </w:p>
  </w:endnote>
  <w:endnote w:type="continuationSeparator" w:id="0">
    <w:p w:rsidR="00365FC4" w:rsidRDefault="00365FC4" w:rsidP="00D44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11" w:rsidRPr="00D81595" w:rsidRDefault="00641F11" w:rsidP="00D81595">
    <w:pPr>
      <w:tabs>
        <w:tab w:val="center" w:pos="5040"/>
      </w:tabs>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94483F">
      <w:rPr>
        <w:rFonts w:ascii="Arial" w:hAnsi="Arial" w:cs="Arial"/>
        <w:b/>
        <w:sz w:val="16"/>
        <w:szCs w:val="16"/>
      </w:rPr>
      <w:t xml:space="preserve">Page </w:t>
    </w:r>
    <w:r w:rsidR="00DC4244" w:rsidRPr="0094483F">
      <w:rPr>
        <w:rFonts w:ascii="Arial" w:hAnsi="Arial" w:cs="Arial"/>
        <w:b/>
        <w:sz w:val="16"/>
        <w:szCs w:val="16"/>
      </w:rPr>
      <w:fldChar w:fldCharType="begin"/>
    </w:r>
    <w:r w:rsidRPr="0094483F">
      <w:rPr>
        <w:rFonts w:ascii="Arial" w:hAnsi="Arial" w:cs="Arial"/>
        <w:b/>
        <w:sz w:val="16"/>
        <w:szCs w:val="16"/>
      </w:rPr>
      <w:instrText xml:space="preserve"> PAGE </w:instrText>
    </w:r>
    <w:r w:rsidR="00DC4244" w:rsidRPr="0094483F">
      <w:rPr>
        <w:rFonts w:ascii="Arial" w:hAnsi="Arial" w:cs="Arial"/>
        <w:b/>
        <w:sz w:val="16"/>
        <w:szCs w:val="16"/>
      </w:rPr>
      <w:fldChar w:fldCharType="separate"/>
    </w:r>
    <w:r w:rsidR="00555324">
      <w:rPr>
        <w:rFonts w:ascii="Arial" w:hAnsi="Arial" w:cs="Arial"/>
        <w:b/>
        <w:noProof/>
        <w:sz w:val="16"/>
        <w:szCs w:val="16"/>
      </w:rPr>
      <w:t>1</w:t>
    </w:r>
    <w:r w:rsidR="00DC4244" w:rsidRPr="0094483F">
      <w:rPr>
        <w:rFonts w:ascii="Arial" w:hAnsi="Arial" w:cs="Arial"/>
        <w:b/>
        <w:sz w:val="16"/>
        <w:szCs w:val="16"/>
      </w:rPr>
      <w:fldChar w:fldCharType="end"/>
    </w:r>
    <w:r w:rsidRPr="0094483F">
      <w:rPr>
        <w:rFonts w:ascii="Arial" w:hAnsi="Arial" w:cs="Arial"/>
        <w:b/>
        <w:sz w:val="16"/>
        <w:szCs w:val="16"/>
      </w:rPr>
      <w:t xml:space="preserve"> of </w:t>
    </w:r>
    <w:r w:rsidR="00DC4244" w:rsidRPr="0094483F">
      <w:rPr>
        <w:rFonts w:ascii="Arial" w:hAnsi="Arial" w:cs="Arial"/>
        <w:b/>
        <w:sz w:val="16"/>
        <w:szCs w:val="16"/>
      </w:rPr>
      <w:fldChar w:fldCharType="begin"/>
    </w:r>
    <w:r w:rsidRPr="0094483F">
      <w:rPr>
        <w:rFonts w:ascii="Arial" w:hAnsi="Arial" w:cs="Arial"/>
        <w:b/>
        <w:sz w:val="16"/>
        <w:szCs w:val="16"/>
      </w:rPr>
      <w:instrText xml:space="preserve"> NUMPAGES </w:instrText>
    </w:r>
    <w:r w:rsidR="00DC4244" w:rsidRPr="0094483F">
      <w:rPr>
        <w:rFonts w:ascii="Arial" w:hAnsi="Arial" w:cs="Arial"/>
        <w:b/>
        <w:sz w:val="16"/>
        <w:szCs w:val="16"/>
      </w:rPr>
      <w:fldChar w:fldCharType="separate"/>
    </w:r>
    <w:r w:rsidR="00555324">
      <w:rPr>
        <w:rFonts w:ascii="Arial" w:hAnsi="Arial" w:cs="Arial"/>
        <w:b/>
        <w:noProof/>
        <w:sz w:val="16"/>
        <w:szCs w:val="16"/>
      </w:rPr>
      <w:t>5</w:t>
    </w:r>
    <w:r w:rsidR="00DC4244" w:rsidRPr="0094483F">
      <w:rPr>
        <w:rFonts w:ascii="Arial" w:hAnsi="Arial" w:cs="Arial"/>
        <w:b/>
        <w:sz w:val="16"/>
        <w:szCs w:val="16"/>
      </w:rPr>
      <w:fldChar w:fldCharType="end"/>
    </w:r>
    <w:r w:rsidRPr="0094483F">
      <w:rPr>
        <w:rFonts w:ascii="Arial" w:hAnsi="Arial" w:cs="Arial"/>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C4" w:rsidRDefault="00365FC4" w:rsidP="00D44420">
      <w:r>
        <w:separator/>
      </w:r>
    </w:p>
  </w:footnote>
  <w:footnote w:type="continuationSeparator" w:id="0">
    <w:p w:rsidR="00365FC4" w:rsidRDefault="00365FC4" w:rsidP="00D44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11" w:rsidRPr="008A6526" w:rsidRDefault="00641F11" w:rsidP="008A6526">
    <w:pPr>
      <w:pStyle w:val="Title"/>
    </w:pPr>
    <w:r w:rsidRPr="000D360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0E1"/>
    <w:multiLevelType w:val="hybridMultilevel"/>
    <w:tmpl w:val="77D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74FE6"/>
    <w:multiLevelType w:val="hybridMultilevel"/>
    <w:tmpl w:val="F70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F724F"/>
    <w:multiLevelType w:val="hybridMultilevel"/>
    <w:tmpl w:val="DA4C3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881920"/>
    <w:multiLevelType w:val="hybridMultilevel"/>
    <w:tmpl w:val="0838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63C8F"/>
    <w:multiLevelType w:val="hybridMultilevel"/>
    <w:tmpl w:val="FC26D41A"/>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548B0"/>
    <w:multiLevelType w:val="hybridMultilevel"/>
    <w:tmpl w:val="9DB6C09E"/>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1250D5"/>
    <w:multiLevelType w:val="hybridMultilevel"/>
    <w:tmpl w:val="8F5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F377E"/>
    <w:multiLevelType w:val="hybridMultilevel"/>
    <w:tmpl w:val="259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1695"/>
    <w:multiLevelType w:val="hybridMultilevel"/>
    <w:tmpl w:val="0DDACE16"/>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10530"/>
    <w:multiLevelType w:val="hybridMultilevel"/>
    <w:tmpl w:val="69F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061E0"/>
    <w:multiLevelType w:val="hybridMultilevel"/>
    <w:tmpl w:val="9666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C4FF1"/>
    <w:multiLevelType w:val="hybridMultilevel"/>
    <w:tmpl w:val="4E2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A2365"/>
    <w:multiLevelType w:val="hybridMultilevel"/>
    <w:tmpl w:val="188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45D42"/>
    <w:multiLevelType w:val="hybridMultilevel"/>
    <w:tmpl w:val="F12A9824"/>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77DC9"/>
    <w:multiLevelType w:val="hybridMultilevel"/>
    <w:tmpl w:val="924858EE"/>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C287D"/>
    <w:multiLevelType w:val="hybridMultilevel"/>
    <w:tmpl w:val="EB2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352F1"/>
    <w:multiLevelType w:val="hybridMultilevel"/>
    <w:tmpl w:val="4F0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A0754"/>
    <w:multiLevelType w:val="hybridMultilevel"/>
    <w:tmpl w:val="A61C2018"/>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465FD"/>
    <w:multiLevelType w:val="hybridMultilevel"/>
    <w:tmpl w:val="B5A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D574E"/>
    <w:multiLevelType w:val="hybridMultilevel"/>
    <w:tmpl w:val="462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3174F"/>
    <w:multiLevelType w:val="hybridMultilevel"/>
    <w:tmpl w:val="EEC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B194A"/>
    <w:multiLevelType w:val="hybridMultilevel"/>
    <w:tmpl w:val="DE8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471F8"/>
    <w:multiLevelType w:val="hybridMultilevel"/>
    <w:tmpl w:val="F7D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C2CAC"/>
    <w:multiLevelType w:val="hybridMultilevel"/>
    <w:tmpl w:val="F50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01EFB"/>
    <w:multiLevelType w:val="hybridMultilevel"/>
    <w:tmpl w:val="74CE9C0C"/>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672AB"/>
    <w:multiLevelType w:val="hybridMultilevel"/>
    <w:tmpl w:val="CE0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12862"/>
    <w:multiLevelType w:val="hybridMultilevel"/>
    <w:tmpl w:val="E3A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E69AF"/>
    <w:multiLevelType w:val="hybridMultilevel"/>
    <w:tmpl w:val="637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0"/>
  </w:num>
  <w:num w:numId="5">
    <w:abstractNumId w:val="24"/>
  </w:num>
  <w:num w:numId="6">
    <w:abstractNumId w:val="17"/>
  </w:num>
  <w:num w:numId="7">
    <w:abstractNumId w:val="14"/>
  </w:num>
  <w:num w:numId="8">
    <w:abstractNumId w:val="4"/>
  </w:num>
  <w:num w:numId="9">
    <w:abstractNumId w:val="8"/>
  </w:num>
  <w:num w:numId="10">
    <w:abstractNumId w:val="21"/>
  </w:num>
  <w:num w:numId="11">
    <w:abstractNumId w:val="7"/>
  </w:num>
  <w:num w:numId="12">
    <w:abstractNumId w:val="22"/>
  </w:num>
  <w:num w:numId="13">
    <w:abstractNumId w:val="11"/>
  </w:num>
  <w:num w:numId="14">
    <w:abstractNumId w:val="16"/>
  </w:num>
  <w:num w:numId="15">
    <w:abstractNumId w:val="1"/>
  </w:num>
  <w:num w:numId="16">
    <w:abstractNumId w:val="19"/>
  </w:num>
  <w:num w:numId="17">
    <w:abstractNumId w:val="27"/>
  </w:num>
  <w:num w:numId="18">
    <w:abstractNumId w:val="23"/>
  </w:num>
  <w:num w:numId="19">
    <w:abstractNumId w:val="26"/>
  </w:num>
  <w:num w:numId="20">
    <w:abstractNumId w:val="2"/>
  </w:num>
  <w:num w:numId="21">
    <w:abstractNumId w:val="5"/>
  </w:num>
  <w:num w:numId="22">
    <w:abstractNumId w:val="13"/>
  </w:num>
  <w:num w:numId="23">
    <w:abstractNumId w:val="18"/>
  </w:num>
  <w:num w:numId="24">
    <w:abstractNumId w:val="15"/>
  </w:num>
  <w:num w:numId="25">
    <w:abstractNumId w:val="3"/>
  </w:num>
  <w:num w:numId="26">
    <w:abstractNumId w:val="20"/>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99247A"/>
    <w:rsid w:val="00007C34"/>
    <w:rsid w:val="00026BEE"/>
    <w:rsid w:val="00032BF9"/>
    <w:rsid w:val="00081EEC"/>
    <w:rsid w:val="000839AA"/>
    <w:rsid w:val="00092B83"/>
    <w:rsid w:val="000C09F4"/>
    <w:rsid w:val="000C1EB5"/>
    <w:rsid w:val="000E54FA"/>
    <w:rsid w:val="000F069A"/>
    <w:rsid w:val="000F67AB"/>
    <w:rsid w:val="00127968"/>
    <w:rsid w:val="0013292C"/>
    <w:rsid w:val="00152C2C"/>
    <w:rsid w:val="00170049"/>
    <w:rsid w:val="001814B3"/>
    <w:rsid w:val="001A167D"/>
    <w:rsid w:val="001A22B3"/>
    <w:rsid w:val="001F2106"/>
    <w:rsid w:val="00203C90"/>
    <w:rsid w:val="00212EF5"/>
    <w:rsid w:val="00217FF1"/>
    <w:rsid w:val="002209C8"/>
    <w:rsid w:val="002273B4"/>
    <w:rsid w:val="00247440"/>
    <w:rsid w:val="0026457B"/>
    <w:rsid w:val="002A03B1"/>
    <w:rsid w:val="002A6FE8"/>
    <w:rsid w:val="00322A70"/>
    <w:rsid w:val="003279A3"/>
    <w:rsid w:val="00353580"/>
    <w:rsid w:val="00360C50"/>
    <w:rsid w:val="00364F75"/>
    <w:rsid w:val="00365FC4"/>
    <w:rsid w:val="0039525A"/>
    <w:rsid w:val="003B2531"/>
    <w:rsid w:val="003B453A"/>
    <w:rsid w:val="003C1E18"/>
    <w:rsid w:val="003D62F9"/>
    <w:rsid w:val="003F699E"/>
    <w:rsid w:val="004008C4"/>
    <w:rsid w:val="00404D2E"/>
    <w:rsid w:val="00405FBB"/>
    <w:rsid w:val="00410708"/>
    <w:rsid w:val="004174D6"/>
    <w:rsid w:val="00433BCE"/>
    <w:rsid w:val="00434841"/>
    <w:rsid w:val="004443DC"/>
    <w:rsid w:val="00486D91"/>
    <w:rsid w:val="004A1DE1"/>
    <w:rsid w:val="004A7FCE"/>
    <w:rsid w:val="004B6CD8"/>
    <w:rsid w:val="004C1849"/>
    <w:rsid w:val="004C3D32"/>
    <w:rsid w:val="004E55F0"/>
    <w:rsid w:val="00506E56"/>
    <w:rsid w:val="005204FD"/>
    <w:rsid w:val="00526A91"/>
    <w:rsid w:val="00530B99"/>
    <w:rsid w:val="00555324"/>
    <w:rsid w:val="0055571A"/>
    <w:rsid w:val="00591F40"/>
    <w:rsid w:val="00595DA3"/>
    <w:rsid w:val="00596948"/>
    <w:rsid w:val="005D11E1"/>
    <w:rsid w:val="005E1364"/>
    <w:rsid w:val="00606E96"/>
    <w:rsid w:val="00620B39"/>
    <w:rsid w:val="00641F11"/>
    <w:rsid w:val="00654860"/>
    <w:rsid w:val="00657971"/>
    <w:rsid w:val="00671518"/>
    <w:rsid w:val="006856E9"/>
    <w:rsid w:val="00693AD0"/>
    <w:rsid w:val="006A0C74"/>
    <w:rsid w:val="006A4D90"/>
    <w:rsid w:val="006A5843"/>
    <w:rsid w:val="006E3E06"/>
    <w:rsid w:val="00733BB4"/>
    <w:rsid w:val="00751061"/>
    <w:rsid w:val="00756A41"/>
    <w:rsid w:val="0076691B"/>
    <w:rsid w:val="0077204F"/>
    <w:rsid w:val="007959F5"/>
    <w:rsid w:val="007A1470"/>
    <w:rsid w:val="007C488B"/>
    <w:rsid w:val="007C74E0"/>
    <w:rsid w:val="007D3515"/>
    <w:rsid w:val="007D4E62"/>
    <w:rsid w:val="007E652F"/>
    <w:rsid w:val="00807A85"/>
    <w:rsid w:val="00880764"/>
    <w:rsid w:val="00885554"/>
    <w:rsid w:val="00891169"/>
    <w:rsid w:val="008971FE"/>
    <w:rsid w:val="0089769A"/>
    <w:rsid w:val="008A6526"/>
    <w:rsid w:val="008B16F5"/>
    <w:rsid w:val="008B6E4A"/>
    <w:rsid w:val="008D1DBE"/>
    <w:rsid w:val="008D2625"/>
    <w:rsid w:val="008E352B"/>
    <w:rsid w:val="008F3DBB"/>
    <w:rsid w:val="008F780A"/>
    <w:rsid w:val="00902BAC"/>
    <w:rsid w:val="00926BEE"/>
    <w:rsid w:val="0094190D"/>
    <w:rsid w:val="0094483F"/>
    <w:rsid w:val="009670DF"/>
    <w:rsid w:val="00986449"/>
    <w:rsid w:val="009905C0"/>
    <w:rsid w:val="0099247A"/>
    <w:rsid w:val="009A706E"/>
    <w:rsid w:val="009A78D1"/>
    <w:rsid w:val="009B39B8"/>
    <w:rsid w:val="009B3DD5"/>
    <w:rsid w:val="009C34E8"/>
    <w:rsid w:val="009C4525"/>
    <w:rsid w:val="009D5789"/>
    <w:rsid w:val="00A11110"/>
    <w:rsid w:val="00A16B90"/>
    <w:rsid w:val="00A23B00"/>
    <w:rsid w:val="00A33AC1"/>
    <w:rsid w:val="00A37AF5"/>
    <w:rsid w:val="00A71E78"/>
    <w:rsid w:val="00A80D73"/>
    <w:rsid w:val="00A91905"/>
    <w:rsid w:val="00A92541"/>
    <w:rsid w:val="00A93923"/>
    <w:rsid w:val="00AA5FBB"/>
    <w:rsid w:val="00AB4418"/>
    <w:rsid w:val="00AD559A"/>
    <w:rsid w:val="00AF21E7"/>
    <w:rsid w:val="00B14E3F"/>
    <w:rsid w:val="00B3400A"/>
    <w:rsid w:val="00B57C24"/>
    <w:rsid w:val="00B76A71"/>
    <w:rsid w:val="00B9713E"/>
    <w:rsid w:val="00B9723C"/>
    <w:rsid w:val="00BB4627"/>
    <w:rsid w:val="00BF230A"/>
    <w:rsid w:val="00BF6234"/>
    <w:rsid w:val="00C04CCD"/>
    <w:rsid w:val="00C118EA"/>
    <w:rsid w:val="00C12217"/>
    <w:rsid w:val="00C158E4"/>
    <w:rsid w:val="00C20B31"/>
    <w:rsid w:val="00C3685F"/>
    <w:rsid w:val="00C65BCD"/>
    <w:rsid w:val="00C7492F"/>
    <w:rsid w:val="00CA1318"/>
    <w:rsid w:val="00CC1E83"/>
    <w:rsid w:val="00CC4137"/>
    <w:rsid w:val="00D003DC"/>
    <w:rsid w:val="00D44420"/>
    <w:rsid w:val="00D52D03"/>
    <w:rsid w:val="00D62EC5"/>
    <w:rsid w:val="00D64140"/>
    <w:rsid w:val="00D8140C"/>
    <w:rsid w:val="00D81595"/>
    <w:rsid w:val="00D8500E"/>
    <w:rsid w:val="00D92053"/>
    <w:rsid w:val="00DA16C3"/>
    <w:rsid w:val="00DA3CC8"/>
    <w:rsid w:val="00DB063A"/>
    <w:rsid w:val="00DC1073"/>
    <w:rsid w:val="00DC4244"/>
    <w:rsid w:val="00DD2811"/>
    <w:rsid w:val="00DF02FB"/>
    <w:rsid w:val="00DF6BD5"/>
    <w:rsid w:val="00E0449C"/>
    <w:rsid w:val="00E1162B"/>
    <w:rsid w:val="00E32C05"/>
    <w:rsid w:val="00E4467D"/>
    <w:rsid w:val="00E452E3"/>
    <w:rsid w:val="00E56B5E"/>
    <w:rsid w:val="00E57CD7"/>
    <w:rsid w:val="00E70040"/>
    <w:rsid w:val="00E76DD9"/>
    <w:rsid w:val="00EA058D"/>
    <w:rsid w:val="00EA2712"/>
    <w:rsid w:val="00EA51D9"/>
    <w:rsid w:val="00EB1AB0"/>
    <w:rsid w:val="00ED0970"/>
    <w:rsid w:val="00EE14AF"/>
    <w:rsid w:val="00EF07F2"/>
    <w:rsid w:val="00F01FDB"/>
    <w:rsid w:val="00F254F5"/>
    <w:rsid w:val="00F552B4"/>
    <w:rsid w:val="00F678ED"/>
    <w:rsid w:val="00F912B3"/>
    <w:rsid w:val="00FC1227"/>
    <w:rsid w:val="00FC3E10"/>
    <w:rsid w:val="00FD100F"/>
    <w:rsid w:val="00FD1732"/>
    <w:rsid w:val="00FE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4B3"/>
    <w:rPr>
      <w:rFonts w:asciiTheme="minorHAnsi" w:hAnsiTheme="minorHAnsi" w:cstheme="minorHAnsi"/>
      <w:sz w:val="24"/>
      <w:szCs w:val="24"/>
    </w:rPr>
  </w:style>
  <w:style w:type="paragraph" w:styleId="Heading1">
    <w:name w:val="heading 1"/>
    <w:basedOn w:val="Normal"/>
    <w:next w:val="Normal"/>
    <w:link w:val="Heading1Char"/>
    <w:qFormat/>
    <w:rsid w:val="00654860"/>
    <w:pPr>
      <w:outlineLvl w:val="0"/>
    </w:pPr>
    <w:rPr>
      <w:color w:val="365F91" w:themeColor="accent1" w:themeShade="BF"/>
      <w:sz w:val="36"/>
      <w:szCs w:val="36"/>
    </w:rPr>
  </w:style>
  <w:style w:type="paragraph" w:styleId="Heading2">
    <w:name w:val="heading 2"/>
    <w:basedOn w:val="Normal"/>
    <w:next w:val="Normal"/>
    <w:link w:val="Heading2Char"/>
    <w:semiHidden/>
    <w:unhideWhenUsed/>
    <w:qFormat/>
    <w:rsid w:val="00220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860"/>
    <w:rPr>
      <w:rFonts w:asciiTheme="minorHAnsi" w:hAnsiTheme="minorHAnsi" w:cstheme="minorHAnsi"/>
      <w:color w:val="365F91" w:themeColor="accent1" w:themeShade="BF"/>
      <w:sz w:val="36"/>
      <w:szCs w:val="36"/>
    </w:rPr>
  </w:style>
  <w:style w:type="table" w:styleId="TableGrid">
    <w:name w:val="Table Grid"/>
    <w:basedOn w:val="TableNormal"/>
    <w:rsid w:val="0099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47A"/>
    <w:pPr>
      <w:ind w:left="720"/>
      <w:contextualSpacing/>
    </w:pPr>
  </w:style>
  <w:style w:type="paragraph" w:styleId="CommentText">
    <w:name w:val="annotation text"/>
    <w:aliases w:val="Comment Text Char1 Char,Comment Text Char Char Char"/>
    <w:basedOn w:val="Normal"/>
    <w:link w:val="CommentTextChar"/>
    <w:rsid w:val="00FE3E7B"/>
    <w:rPr>
      <w:rFonts w:ascii="Arial" w:hAnsi="Arial"/>
    </w:rPr>
  </w:style>
  <w:style w:type="character" w:customStyle="1" w:styleId="CommentTextChar">
    <w:name w:val="Comment Text Char"/>
    <w:aliases w:val="Comment Text Char1 Char Char,Comment Text Char Char Char Char"/>
    <w:basedOn w:val="DefaultParagraphFont"/>
    <w:link w:val="CommentText"/>
    <w:rsid w:val="00FE3E7B"/>
    <w:rPr>
      <w:rFonts w:ascii="Arial" w:hAnsi="Arial"/>
      <w:sz w:val="24"/>
      <w:szCs w:val="24"/>
    </w:rPr>
  </w:style>
  <w:style w:type="character" w:styleId="CommentReference">
    <w:name w:val="annotation reference"/>
    <w:rsid w:val="00FE3E7B"/>
    <w:rPr>
      <w:sz w:val="16"/>
      <w:szCs w:val="16"/>
    </w:rPr>
  </w:style>
  <w:style w:type="paragraph" w:styleId="BalloonText">
    <w:name w:val="Balloon Text"/>
    <w:basedOn w:val="Normal"/>
    <w:link w:val="BalloonTextChar"/>
    <w:rsid w:val="00FE3E7B"/>
    <w:rPr>
      <w:rFonts w:ascii="Tahoma" w:hAnsi="Tahoma" w:cs="Tahoma"/>
      <w:sz w:val="16"/>
      <w:szCs w:val="16"/>
    </w:rPr>
  </w:style>
  <w:style w:type="character" w:customStyle="1" w:styleId="BalloonTextChar">
    <w:name w:val="Balloon Text Char"/>
    <w:basedOn w:val="DefaultParagraphFont"/>
    <w:link w:val="BalloonText"/>
    <w:rsid w:val="00FE3E7B"/>
    <w:rPr>
      <w:rFonts w:ascii="Tahoma" w:hAnsi="Tahoma" w:cs="Tahoma"/>
      <w:sz w:val="16"/>
      <w:szCs w:val="16"/>
    </w:rPr>
  </w:style>
  <w:style w:type="paragraph" w:customStyle="1" w:styleId="Default">
    <w:name w:val="Default"/>
    <w:rsid w:val="00E7004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1F40"/>
    <w:rPr>
      <w:rFonts w:ascii="Times New Roman" w:hAnsi="Times New Roman"/>
      <w:b/>
      <w:bCs/>
      <w:sz w:val="20"/>
      <w:szCs w:val="20"/>
    </w:rPr>
  </w:style>
  <w:style w:type="character" w:customStyle="1" w:styleId="CommentSubjectChar">
    <w:name w:val="Comment Subject Char"/>
    <w:basedOn w:val="CommentTextChar"/>
    <w:link w:val="CommentSubject"/>
    <w:rsid w:val="00591F40"/>
    <w:rPr>
      <w:rFonts w:ascii="Arial" w:hAnsi="Arial"/>
      <w:b/>
      <w:bCs/>
      <w:sz w:val="24"/>
      <w:szCs w:val="24"/>
    </w:rPr>
  </w:style>
  <w:style w:type="paragraph" w:styleId="Title">
    <w:name w:val="Title"/>
    <w:basedOn w:val="Normal"/>
    <w:next w:val="Normal"/>
    <w:link w:val="TitleChar"/>
    <w:uiPriority w:val="10"/>
    <w:qFormat/>
    <w:rsid w:val="00654860"/>
    <w:pPr>
      <w:jc w:val="right"/>
    </w:pPr>
    <w:rPr>
      <w:rFonts w:ascii="Calibri" w:hAnsi="Calibri" w:cs="Calibri"/>
      <w:sz w:val="44"/>
      <w:szCs w:val="44"/>
    </w:rPr>
  </w:style>
  <w:style w:type="character" w:customStyle="1" w:styleId="TitleChar">
    <w:name w:val="Title Char"/>
    <w:basedOn w:val="DefaultParagraphFont"/>
    <w:link w:val="Title"/>
    <w:uiPriority w:val="10"/>
    <w:rsid w:val="00654860"/>
    <w:rPr>
      <w:rFonts w:ascii="Calibri" w:hAnsi="Calibri" w:cs="Calibri"/>
      <w:sz w:val="44"/>
      <w:szCs w:val="44"/>
    </w:rPr>
  </w:style>
  <w:style w:type="paragraph" w:customStyle="1" w:styleId="Heading2A">
    <w:name w:val="Heading 2A"/>
    <w:basedOn w:val="Normal"/>
    <w:link w:val="Heading2AChar"/>
    <w:qFormat/>
    <w:rsid w:val="00654860"/>
    <w:rPr>
      <w:b/>
    </w:rPr>
  </w:style>
  <w:style w:type="character" w:customStyle="1" w:styleId="Heading2AChar">
    <w:name w:val="Heading 2A Char"/>
    <w:basedOn w:val="DefaultParagraphFont"/>
    <w:link w:val="Heading2A"/>
    <w:rsid w:val="00654860"/>
    <w:rPr>
      <w:rFonts w:asciiTheme="minorHAnsi" w:hAnsiTheme="minorHAnsi" w:cstheme="minorHAnsi"/>
      <w:b/>
      <w:sz w:val="24"/>
      <w:szCs w:val="24"/>
    </w:rPr>
  </w:style>
  <w:style w:type="paragraph" w:styleId="Header">
    <w:name w:val="header"/>
    <w:basedOn w:val="Normal"/>
    <w:link w:val="HeaderChar"/>
    <w:rsid w:val="00D44420"/>
    <w:pPr>
      <w:tabs>
        <w:tab w:val="center" w:pos="4680"/>
        <w:tab w:val="right" w:pos="9360"/>
      </w:tabs>
    </w:pPr>
  </w:style>
  <w:style w:type="character" w:customStyle="1" w:styleId="HeaderChar">
    <w:name w:val="Header Char"/>
    <w:basedOn w:val="DefaultParagraphFont"/>
    <w:link w:val="Header"/>
    <w:rsid w:val="00D44420"/>
    <w:rPr>
      <w:rFonts w:asciiTheme="minorHAnsi" w:hAnsiTheme="minorHAnsi" w:cstheme="minorHAnsi"/>
      <w:sz w:val="24"/>
      <w:szCs w:val="24"/>
    </w:rPr>
  </w:style>
  <w:style w:type="paragraph" w:styleId="Footer">
    <w:name w:val="footer"/>
    <w:basedOn w:val="Normal"/>
    <w:link w:val="FooterChar"/>
    <w:rsid w:val="00D44420"/>
    <w:pPr>
      <w:tabs>
        <w:tab w:val="center" w:pos="4680"/>
        <w:tab w:val="right" w:pos="9360"/>
      </w:tabs>
    </w:pPr>
  </w:style>
  <w:style w:type="character" w:customStyle="1" w:styleId="FooterChar">
    <w:name w:val="Footer Char"/>
    <w:basedOn w:val="DefaultParagraphFont"/>
    <w:link w:val="Footer"/>
    <w:rsid w:val="00D44420"/>
    <w:rPr>
      <w:rFonts w:asciiTheme="minorHAnsi" w:hAnsiTheme="minorHAnsi" w:cstheme="minorHAnsi"/>
      <w:sz w:val="24"/>
      <w:szCs w:val="24"/>
    </w:rPr>
  </w:style>
  <w:style w:type="paragraph" w:styleId="BodyTextIndent">
    <w:name w:val="Body Text Indent"/>
    <w:basedOn w:val="Normal"/>
    <w:link w:val="BodyTextIndentChar"/>
    <w:rsid w:val="002A03B1"/>
    <w:pPr>
      <w:ind w:left="540" w:hanging="540"/>
      <w:jc w:val="both"/>
    </w:pPr>
    <w:rPr>
      <w:rFonts w:ascii="Arial" w:hAnsi="Arial" w:cs="Arial"/>
      <w:sz w:val="28"/>
      <w:szCs w:val="20"/>
    </w:rPr>
  </w:style>
  <w:style w:type="character" w:customStyle="1" w:styleId="BodyTextIndentChar">
    <w:name w:val="Body Text Indent Char"/>
    <w:basedOn w:val="DefaultParagraphFont"/>
    <w:link w:val="BodyTextIndent"/>
    <w:rsid w:val="002A03B1"/>
    <w:rPr>
      <w:rFonts w:ascii="Arial" w:hAnsi="Arial" w:cs="Arial"/>
      <w:sz w:val="28"/>
    </w:rPr>
  </w:style>
  <w:style w:type="character" w:styleId="Hyperlink">
    <w:name w:val="Hyperlink"/>
    <w:basedOn w:val="DefaultParagraphFont"/>
    <w:uiPriority w:val="99"/>
    <w:rsid w:val="00526A91"/>
    <w:rPr>
      <w:rFonts w:ascii="Arial" w:hAnsi="Arial"/>
      <w:b/>
      <w:color w:val="004990"/>
      <w:sz w:val="16"/>
      <w:u w:val="none"/>
    </w:rPr>
  </w:style>
  <w:style w:type="paragraph" w:styleId="NormalWeb">
    <w:name w:val="Normal (Web)"/>
    <w:basedOn w:val="Normal"/>
    <w:uiPriority w:val="99"/>
    <w:rsid w:val="00526A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6A91"/>
    <w:rPr>
      <w:b/>
      <w:bCs/>
    </w:rPr>
  </w:style>
  <w:style w:type="paragraph" w:customStyle="1" w:styleId="00Instructions">
    <w:name w:val="00 Instructions"/>
    <w:basedOn w:val="Normal"/>
    <w:rsid w:val="00405FBB"/>
    <w:pPr>
      <w:ind w:left="360"/>
    </w:pPr>
    <w:rPr>
      <w:rFonts w:ascii="Times New Roman" w:hAnsi="Times New Roman" w:cs="Times New Roman"/>
      <w:i/>
      <w:sz w:val="22"/>
      <w:szCs w:val="22"/>
    </w:rPr>
  </w:style>
  <w:style w:type="paragraph" w:styleId="Revision">
    <w:name w:val="Revision"/>
    <w:hidden/>
    <w:uiPriority w:val="99"/>
    <w:semiHidden/>
    <w:rsid w:val="00081EEC"/>
    <w:rPr>
      <w:rFonts w:asciiTheme="minorHAnsi" w:hAnsiTheme="minorHAnsi" w:cstheme="minorHAnsi"/>
      <w:sz w:val="24"/>
      <w:szCs w:val="24"/>
    </w:rPr>
  </w:style>
  <w:style w:type="character" w:customStyle="1" w:styleId="Activity1stBulletCharCharChar">
    <w:name w:val="Activity 1st Bullet Char Char Char"/>
    <w:rsid w:val="0094483F"/>
    <w:rPr>
      <w:rFonts w:ascii="Arial" w:hAnsi="Arial" w:cs="Arial"/>
      <w:sz w:val="24"/>
      <w:szCs w:val="24"/>
      <w:lang w:val="en-US" w:eastAsia="en-US" w:bidi="ar-SA"/>
    </w:rPr>
  </w:style>
  <w:style w:type="character" w:customStyle="1" w:styleId="Heading2Char">
    <w:name w:val="Heading 2 Char"/>
    <w:basedOn w:val="DefaultParagraphFont"/>
    <w:link w:val="Heading2"/>
    <w:semiHidden/>
    <w:rsid w:val="002209C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6E3E0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4B3"/>
    <w:rPr>
      <w:rFonts w:asciiTheme="minorHAnsi" w:hAnsiTheme="minorHAnsi" w:cstheme="minorHAnsi"/>
      <w:sz w:val="24"/>
      <w:szCs w:val="24"/>
    </w:rPr>
  </w:style>
  <w:style w:type="paragraph" w:styleId="Heading1">
    <w:name w:val="heading 1"/>
    <w:basedOn w:val="Normal"/>
    <w:next w:val="Normal"/>
    <w:link w:val="Heading1Char"/>
    <w:qFormat/>
    <w:rsid w:val="00654860"/>
    <w:pPr>
      <w:outlineLvl w:val="0"/>
    </w:pPr>
    <w:rPr>
      <w:color w:val="365F91" w:themeColor="accent1" w:themeShade="BF"/>
      <w:sz w:val="36"/>
      <w:szCs w:val="36"/>
    </w:rPr>
  </w:style>
  <w:style w:type="paragraph" w:styleId="Heading2">
    <w:name w:val="heading 2"/>
    <w:basedOn w:val="Normal"/>
    <w:next w:val="Normal"/>
    <w:link w:val="Heading2Char"/>
    <w:semiHidden/>
    <w:unhideWhenUsed/>
    <w:qFormat/>
    <w:rsid w:val="00220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860"/>
    <w:rPr>
      <w:rFonts w:asciiTheme="minorHAnsi" w:hAnsiTheme="minorHAnsi" w:cstheme="minorHAnsi"/>
      <w:color w:val="365F91" w:themeColor="accent1" w:themeShade="BF"/>
      <w:sz w:val="36"/>
      <w:szCs w:val="36"/>
    </w:rPr>
  </w:style>
  <w:style w:type="table" w:styleId="TableGrid">
    <w:name w:val="Table Grid"/>
    <w:basedOn w:val="TableNormal"/>
    <w:rsid w:val="0099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47A"/>
    <w:pPr>
      <w:ind w:left="720"/>
      <w:contextualSpacing/>
    </w:pPr>
  </w:style>
  <w:style w:type="paragraph" w:styleId="CommentText">
    <w:name w:val="annotation text"/>
    <w:aliases w:val="Comment Text Char1 Char,Comment Text Char Char Char"/>
    <w:basedOn w:val="Normal"/>
    <w:link w:val="CommentTextChar"/>
    <w:rsid w:val="00FE3E7B"/>
    <w:rPr>
      <w:rFonts w:ascii="Arial" w:hAnsi="Arial"/>
    </w:rPr>
  </w:style>
  <w:style w:type="character" w:customStyle="1" w:styleId="CommentTextChar">
    <w:name w:val="Comment Text Char"/>
    <w:aliases w:val="Comment Text Char1 Char Char,Comment Text Char Char Char Char"/>
    <w:basedOn w:val="DefaultParagraphFont"/>
    <w:link w:val="CommentText"/>
    <w:rsid w:val="00FE3E7B"/>
    <w:rPr>
      <w:rFonts w:ascii="Arial" w:hAnsi="Arial"/>
      <w:sz w:val="24"/>
      <w:szCs w:val="24"/>
    </w:rPr>
  </w:style>
  <w:style w:type="character" w:styleId="CommentReference">
    <w:name w:val="annotation reference"/>
    <w:rsid w:val="00FE3E7B"/>
    <w:rPr>
      <w:sz w:val="16"/>
      <w:szCs w:val="16"/>
    </w:rPr>
  </w:style>
  <w:style w:type="paragraph" w:styleId="BalloonText">
    <w:name w:val="Balloon Text"/>
    <w:basedOn w:val="Normal"/>
    <w:link w:val="BalloonTextChar"/>
    <w:rsid w:val="00FE3E7B"/>
    <w:rPr>
      <w:rFonts w:ascii="Tahoma" w:hAnsi="Tahoma" w:cs="Tahoma"/>
      <w:sz w:val="16"/>
      <w:szCs w:val="16"/>
    </w:rPr>
  </w:style>
  <w:style w:type="character" w:customStyle="1" w:styleId="BalloonTextChar">
    <w:name w:val="Balloon Text Char"/>
    <w:basedOn w:val="DefaultParagraphFont"/>
    <w:link w:val="BalloonText"/>
    <w:rsid w:val="00FE3E7B"/>
    <w:rPr>
      <w:rFonts w:ascii="Tahoma" w:hAnsi="Tahoma" w:cs="Tahoma"/>
      <w:sz w:val="16"/>
      <w:szCs w:val="16"/>
    </w:rPr>
  </w:style>
  <w:style w:type="paragraph" w:customStyle="1" w:styleId="Default">
    <w:name w:val="Default"/>
    <w:rsid w:val="00E7004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1F40"/>
    <w:rPr>
      <w:rFonts w:ascii="Times New Roman" w:hAnsi="Times New Roman"/>
      <w:b/>
      <w:bCs/>
      <w:sz w:val="20"/>
      <w:szCs w:val="20"/>
    </w:rPr>
  </w:style>
  <w:style w:type="character" w:customStyle="1" w:styleId="CommentSubjectChar">
    <w:name w:val="Comment Subject Char"/>
    <w:basedOn w:val="CommentTextChar"/>
    <w:link w:val="CommentSubject"/>
    <w:rsid w:val="00591F40"/>
    <w:rPr>
      <w:rFonts w:ascii="Arial" w:hAnsi="Arial"/>
      <w:b/>
      <w:bCs/>
      <w:sz w:val="24"/>
      <w:szCs w:val="24"/>
    </w:rPr>
  </w:style>
  <w:style w:type="paragraph" w:styleId="Title">
    <w:name w:val="Title"/>
    <w:basedOn w:val="Normal"/>
    <w:next w:val="Normal"/>
    <w:link w:val="TitleChar"/>
    <w:uiPriority w:val="10"/>
    <w:qFormat/>
    <w:rsid w:val="00654860"/>
    <w:pPr>
      <w:jc w:val="right"/>
    </w:pPr>
    <w:rPr>
      <w:rFonts w:ascii="Calibri" w:hAnsi="Calibri" w:cs="Calibri"/>
      <w:sz w:val="44"/>
      <w:szCs w:val="44"/>
    </w:rPr>
  </w:style>
  <w:style w:type="character" w:customStyle="1" w:styleId="TitleChar">
    <w:name w:val="Title Char"/>
    <w:basedOn w:val="DefaultParagraphFont"/>
    <w:link w:val="Title"/>
    <w:uiPriority w:val="10"/>
    <w:rsid w:val="00654860"/>
    <w:rPr>
      <w:rFonts w:ascii="Calibri" w:hAnsi="Calibri" w:cs="Calibri"/>
      <w:sz w:val="44"/>
      <w:szCs w:val="44"/>
    </w:rPr>
  </w:style>
  <w:style w:type="paragraph" w:customStyle="1" w:styleId="Heading2A">
    <w:name w:val="Heading 2A"/>
    <w:basedOn w:val="Normal"/>
    <w:link w:val="Heading2AChar"/>
    <w:qFormat/>
    <w:rsid w:val="00654860"/>
    <w:rPr>
      <w:b/>
    </w:rPr>
  </w:style>
  <w:style w:type="character" w:customStyle="1" w:styleId="Heading2AChar">
    <w:name w:val="Heading 2A Char"/>
    <w:basedOn w:val="DefaultParagraphFont"/>
    <w:link w:val="Heading2A"/>
    <w:rsid w:val="00654860"/>
    <w:rPr>
      <w:rFonts w:asciiTheme="minorHAnsi" w:hAnsiTheme="minorHAnsi" w:cstheme="minorHAnsi"/>
      <w:b/>
      <w:sz w:val="24"/>
      <w:szCs w:val="24"/>
    </w:rPr>
  </w:style>
  <w:style w:type="paragraph" w:styleId="Header">
    <w:name w:val="header"/>
    <w:basedOn w:val="Normal"/>
    <w:link w:val="HeaderChar"/>
    <w:rsid w:val="00D44420"/>
    <w:pPr>
      <w:tabs>
        <w:tab w:val="center" w:pos="4680"/>
        <w:tab w:val="right" w:pos="9360"/>
      </w:tabs>
    </w:pPr>
  </w:style>
  <w:style w:type="character" w:customStyle="1" w:styleId="HeaderChar">
    <w:name w:val="Header Char"/>
    <w:basedOn w:val="DefaultParagraphFont"/>
    <w:link w:val="Header"/>
    <w:rsid w:val="00D44420"/>
    <w:rPr>
      <w:rFonts w:asciiTheme="minorHAnsi" w:hAnsiTheme="minorHAnsi" w:cstheme="minorHAnsi"/>
      <w:sz w:val="24"/>
      <w:szCs w:val="24"/>
    </w:rPr>
  </w:style>
  <w:style w:type="paragraph" w:styleId="Footer">
    <w:name w:val="footer"/>
    <w:basedOn w:val="Normal"/>
    <w:link w:val="FooterChar"/>
    <w:rsid w:val="00D44420"/>
    <w:pPr>
      <w:tabs>
        <w:tab w:val="center" w:pos="4680"/>
        <w:tab w:val="right" w:pos="9360"/>
      </w:tabs>
    </w:pPr>
  </w:style>
  <w:style w:type="character" w:customStyle="1" w:styleId="FooterChar">
    <w:name w:val="Footer Char"/>
    <w:basedOn w:val="DefaultParagraphFont"/>
    <w:link w:val="Footer"/>
    <w:rsid w:val="00D44420"/>
    <w:rPr>
      <w:rFonts w:asciiTheme="minorHAnsi" w:hAnsiTheme="minorHAnsi" w:cstheme="minorHAnsi"/>
      <w:sz w:val="24"/>
      <w:szCs w:val="24"/>
    </w:rPr>
  </w:style>
  <w:style w:type="paragraph" w:styleId="BodyTextIndent">
    <w:name w:val="Body Text Indent"/>
    <w:basedOn w:val="Normal"/>
    <w:link w:val="BodyTextIndentChar"/>
    <w:rsid w:val="002A03B1"/>
    <w:pPr>
      <w:ind w:left="540" w:hanging="540"/>
      <w:jc w:val="both"/>
    </w:pPr>
    <w:rPr>
      <w:rFonts w:ascii="Arial" w:hAnsi="Arial" w:cs="Arial"/>
      <w:sz w:val="28"/>
      <w:szCs w:val="20"/>
    </w:rPr>
  </w:style>
  <w:style w:type="character" w:customStyle="1" w:styleId="BodyTextIndentChar">
    <w:name w:val="Body Text Indent Char"/>
    <w:basedOn w:val="DefaultParagraphFont"/>
    <w:link w:val="BodyTextIndent"/>
    <w:rsid w:val="002A03B1"/>
    <w:rPr>
      <w:rFonts w:ascii="Arial" w:hAnsi="Arial" w:cs="Arial"/>
      <w:sz w:val="28"/>
    </w:rPr>
  </w:style>
  <w:style w:type="character" w:styleId="Hyperlink">
    <w:name w:val="Hyperlink"/>
    <w:basedOn w:val="DefaultParagraphFont"/>
    <w:uiPriority w:val="99"/>
    <w:rsid w:val="00526A91"/>
    <w:rPr>
      <w:rFonts w:ascii="Arial" w:hAnsi="Arial"/>
      <w:b/>
      <w:color w:val="004990"/>
      <w:sz w:val="16"/>
      <w:u w:val="none"/>
    </w:rPr>
  </w:style>
  <w:style w:type="paragraph" w:styleId="NormalWeb">
    <w:name w:val="Normal (Web)"/>
    <w:basedOn w:val="Normal"/>
    <w:uiPriority w:val="99"/>
    <w:rsid w:val="00526A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6A91"/>
    <w:rPr>
      <w:b/>
      <w:bCs/>
    </w:rPr>
  </w:style>
  <w:style w:type="paragraph" w:customStyle="1" w:styleId="00Instructions">
    <w:name w:val="00 Instructions"/>
    <w:basedOn w:val="Normal"/>
    <w:rsid w:val="00405FBB"/>
    <w:pPr>
      <w:ind w:left="360"/>
    </w:pPr>
    <w:rPr>
      <w:rFonts w:ascii="Times New Roman" w:hAnsi="Times New Roman" w:cs="Times New Roman"/>
      <w:i/>
      <w:sz w:val="22"/>
      <w:szCs w:val="22"/>
    </w:rPr>
  </w:style>
  <w:style w:type="paragraph" w:styleId="Revision">
    <w:name w:val="Revision"/>
    <w:hidden/>
    <w:uiPriority w:val="99"/>
    <w:semiHidden/>
    <w:rsid w:val="00081EEC"/>
    <w:rPr>
      <w:rFonts w:asciiTheme="minorHAnsi" w:hAnsiTheme="minorHAnsi" w:cstheme="minorHAnsi"/>
      <w:sz w:val="24"/>
      <w:szCs w:val="24"/>
    </w:rPr>
  </w:style>
  <w:style w:type="character" w:customStyle="1" w:styleId="Activity1stBulletCharCharChar">
    <w:name w:val="Activity 1st Bullet Char Char Char"/>
    <w:rsid w:val="0094483F"/>
    <w:rPr>
      <w:rFonts w:ascii="Arial" w:hAnsi="Arial" w:cs="Arial"/>
      <w:sz w:val="24"/>
      <w:szCs w:val="24"/>
      <w:lang w:val="en-US" w:eastAsia="en-US" w:bidi="ar-SA"/>
    </w:rPr>
  </w:style>
  <w:style w:type="character" w:customStyle="1" w:styleId="Heading2Char">
    <w:name w:val="Heading 2 Char"/>
    <w:basedOn w:val="DefaultParagraphFont"/>
    <w:link w:val="Heading2"/>
    <w:semiHidden/>
    <w:rsid w:val="002209C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6E3E0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6974225">
      <w:bodyDiv w:val="1"/>
      <w:marLeft w:val="0"/>
      <w:marRight w:val="0"/>
      <w:marTop w:val="0"/>
      <w:marBottom w:val="0"/>
      <w:divBdr>
        <w:top w:val="none" w:sz="0" w:space="0" w:color="auto"/>
        <w:left w:val="none" w:sz="0" w:space="0" w:color="auto"/>
        <w:bottom w:val="none" w:sz="0" w:space="0" w:color="auto"/>
        <w:right w:val="none" w:sz="0" w:space="0" w:color="auto"/>
      </w:divBdr>
    </w:div>
    <w:div w:id="1207067895">
      <w:bodyDiv w:val="1"/>
      <w:marLeft w:val="0"/>
      <w:marRight w:val="0"/>
      <w:marTop w:val="0"/>
      <w:marBottom w:val="0"/>
      <w:divBdr>
        <w:top w:val="none" w:sz="0" w:space="0" w:color="auto"/>
        <w:left w:val="none" w:sz="0" w:space="0" w:color="auto"/>
        <w:bottom w:val="none" w:sz="0" w:space="0" w:color="auto"/>
        <w:right w:val="none" w:sz="0" w:space="0" w:color="auto"/>
      </w:divBdr>
    </w:div>
    <w:div w:id="19085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9DB4-0B03-45F1-9BFC-045930AD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 Christi N</dc:creator>
  <cp:lastModifiedBy>redelagarza</cp:lastModifiedBy>
  <cp:revision>4</cp:revision>
  <cp:lastPrinted>2016-08-18T15:39:00Z</cp:lastPrinted>
  <dcterms:created xsi:type="dcterms:W3CDTF">2016-08-18T15:18:00Z</dcterms:created>
  <dcterms:modified xsi:type="dcterms:W3CDTF">2016-08-18T15:39:00Z</dcterms:modified>
</cp:coreProperties>
</file>